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2B7C48" w14:paraId="533BD1F4" w14:textId="77777777" w:rsidTr="00C01C52">
        <w:trPr>
          <w:gridAfter w:val="1"/>
          <w:wAfter w:w="2551" w:type="dxa"/>
          <w:cantSplit/>
          <w:trHeight w:val="70"/>
        </w:trPr>
        <w:tc>
          <w:tcPr>
            <w:tcW w:w="4928" w:type="dxa"/>
            <w:shd w:val="clear" w:color="auto" w:fill="BFBFBF"/>
            <w:vAlign w:val="center"/>
          </w:tcPr>
          <w:p w14:paraId="533BD1F2" w14:textId="77777777" w:rsidR="00C01C52" w:rsidRPr="00D44314" w:rsidRDefault="00F60FAA" w:rsidP="00C01C52">
            <w:pPr>
              <w:jc w:val="center"/>
              <w:rPr>
                <w:b/>
              </w:rPr>
            </w:pPr>
            <w:r w:rsidRPr="00D44314">
              <w:rPr>
                <w:b/>
                <w:noProof/>
              </w:rPr>
              <w:drawing>
                <wp:anchor distT="0" distB="0" distL="114300" distR="114300" simplePos="0" relativeHeight="251658240" behindDoc="1" locked="0" layoutInCell="0" allowOverlap="1" wp14:anchorId="533BD69F" wp14:editId="533BD6A0">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959579"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314">
              <w:rPr>
                <w:b/>
              </w:rPr>
              <w:t>REPORT TO</w:t>
            </w:r>
          </w:p>
        </w:tc>
        <w:tc>
          <w:tcPr>
            <w:tcW w:w="2410" w:type="dxa"/>
            <w:shd w:val="clear" w:color="auto" w:fill="BFBFBF"/>
            <w:vAlign w:val="center"/>
          </w:tcPr>
          <w:p w14:paraId="533BD1F3" w14:textId="77777777" w:rsidR="00C01C52" w:rsidRPr="00D44314" w:rsidRDefault="00F60FAA" w:rsidP="00C01C52">
            <w:pPr>
              <w:jc w:val="center"/>
              <w:rPr>
                <w:b/>
              </w:rPr>
            </w:pPr>
            <w:r w:rsidRPr="00D44314">
              <w:rPr>
                <w:b/>
              </w:rPr>
              <w:t>ON</w:t>
            </w:r>
          </w:p>
        </w:tc>
      </w:tr>
      <w:tr w:rsidR="002B7C48" w14:paraId="533BD1F7" w14:textId="77777777" w:rsidTr="00C01C52">
        <w:trPr>
          <w:gridAfter w:val="1"/>
          <w:wAfter w:w="2551" w:type="dxa"/>
          <w:cantSplit/>
          <w:trHeight w:val="654"/>
        </w:trPr>
        <w:tc>
          <w:tcPr>
            <w:tcW w:w="4928" w:type="dxa"/>
            <w:tcBorders>
              <w:bottom w:val="nil"/>
            </w:tcBorders>
            <w:vAlign w:val="center"/>
          </w:tcPr>
          <w:p w14:paraId="533BD1F5" w14:textId="77777777" w:rsidR="00C01C52" w:rsidRPr="00D44314" w:rsidRDefault="00F60FAA" w:rsidP="00C01C52">
            <w:pPr>
              <w:jc w:val="center"/>
              <w:rPr>
                <w:sz w:val="24"/>
                <w:szCs w:val="24"/>
              </w:rPr>
            </w:pPr>
            <w:r w:rsidRPr="00D44314">
              <w:rPr>
                <w:sz w:val="24"/>
                <w:szCs w:val="24"/>
              </w:rPr>
              <w:t>Cabinet</w:t>
            </w:r>
          </w:p>
        </w:tc>
        <w:tc>
          <w:tcPr>
            <w:tcW w:w="2410" w:type="dxa"/>
            <w:tcBorders>
              <w:bottom w:val="nil"/>
            </w:tcBorders>
            <w:vAlign w:val="center"/>
          </w:tcPr>
          <w:p w14:paraId="533BD1F6" w14:textId="5ED7702B" w:rsidR="00C01C52" w:rsidRPr="00D44314" w:rsidRDefault="00F60FAA" w:rsidP="00C01C52">
            <w:pPr>
              <w:jc w:val="center"/>
            </w:pPr>
            <w:r>
              <w:t>12 February 2020</w:t>
            </w:r>
            <w:bookmarkStart w:id="0" w:name="_GoBack"/>
            <w:bookmarkEnd w:id="0"/>
          </w:p>
        </w:tc>
      </w:tr>
      <w:tr w:rsidR="002B7C48" w14:paraId="533BD1F9" w14:textId="77777777" w:rsidTr="00C01C52">
        <w:trPr>
          <w:gridAfter w:val="1"/>
          <w:wAfter w:w="2551" w:type="dxa"/>
          <w:cantSplit/>
          <w:trHeight w:val="560"/>
        </w:trPr>
        <w:tc>
          <w:tcPr>
            <w:tcW w:w="7338" w:type="dxa"/>
            <w:gridSpan w:val="2"/>
            <w:tcBorders>
              <w:left w:val="nil"/>
              <w:right w:val="nil"/>
            </w:tcBorders>
          </w:tcPr>
          <w:p w14:paraId="533BD1F8" w14:textId="77777777" w:rsidR="00C01C52" w:rsidRPr="009E2B84" w:rsidRDefault="00F60FAA" w:rsidP="00C01C52"/>
        </w:tc>
      </w:tr>
      <w:tr w:rsidR="002B7C48" w14:paraId="533BD1FD" w14:textId="77777777" w:rsidTr="00C01C52">
        <w:trPr>
          <w:cantSplit/>
        </w:trPr>
        <w:tc>
          <w:tcPr>
            <w:tcW w:w="4928" w:type="dxa"/>
            <w:shd w:val="clear" w:color="auto" w:fill="BFBFBF"/>
            <w:vAlign w:val="center"/>
          </w:tcPr>
          <w:p w14:paraId="533BD1FA" w14:textId="77777777" w:rsidR="00C01C52" w:rsidRPr="009E2B84" w:rsidRDefault="00F60FAA" w:rsidP="00C01C52">
            <w:pPr>
              <w:jc w:val="center"/>
              <w:rPr>
                <w:b/>
              </w:rPr>
            </w:pPr>
            <w:r w:rsidRPr="009E2B84">
              <w:rPr>
                <w:b/>
              </w:rPr>
              <w:t>TITLE</w:t>
            </w:r>
          </w:p>
        </w:tc>
        <w:tc>
          <w:tcPr>
            <w:tcW w:w="2410" w:type="dxa"/>
            <w:shd w:val="clear" w:color="auto" w:fill="BFBFBF"/>
            <w:vAlign w:val="center"/>
          </w:tcPr>
          <w:p w14:paraId="533BD1FB" w14:textId="77777777" w:rsidR="00C01C52" w:rsidRPr="009E2B84" w:rsidRDefault="00F60FAA" w:rsidP="00C01C52">
            <w:pPr>
              <w:jc w:val="center"/>
              <w:rPr>
                <w:b/>
              </w:rPr>
            </w:pPr>
            <w:r w:rsidRPr="009E2B84">
              <w:rPr>
                <w:b/>
              </w:rPr>
              <w:t>PORTFOLIO</w:t>
            </w:r>
          </w:p>
        </w:tc>
        <w:tc>
          <w:tcPr>
            <w:tcW w:w="2551" w:type="dxa"/>
            <w:shd w:val="clear" w:color="auto" w:fill="BFBFBF"/>
            <w:vAlign w:val="center"/>
          </w:tcPr>
          <w:p w14:paraId="533BD1FC" w14:textId="77777777" w:rsidR="00C01C52" w:rsidRPr="009E2B84" w:rsidRDefault="00F60FAA" w:rsidP="00C01C52">
            <w:pPr>
              <w:jc w:val="center"/>
              <w:rPr>
                <w:b/>
              </w:rPr>
            </w:pPr>
            <w:r>
              <w:rPr>
                <w:b/>
              </w:rPr>
              <w:t>REPORT OF</w:t>
            </w:r>
          </w:p>
        </w:tc>
      </w:tr>
      <w:tr w:rsidR="002B7C48" w14:paraId="533BD201" w14:textId="77777777" w:rsidTr="00C01C52">
        <w:trPr>
          <w:cantSplit/>
          <w:trHeight w:val="667"/>
        </w:trPr>
        <w:tc>
          <w:tcPr>
            <w:tcW w:w="4928" w:type="dxa"/>
            <w:vAlign w:val="center"/>
          </w:tcPr>
          <w:p w14:paraId="533BD1FE" w14:textId="77777777" w:rsidR="00C01C52" w:rsidRPr="00F20BE4" w:rsidRDefault="00F60FAA" w:rsidP="00C01C52">
            <w:pPr>
              <w:jc w:val="center"/>
            </w:pPr>
            <w:r>
              <w:t>Budget Monitoring 2019/20 – Quarter 3</w:t>
            </w:r>
          </w:p>
        </w:tc>
        <w:tc>
          <w:tcPr>
            <w:tcW w:w="2410" w:type="dxa"/>
            <w:vAlign w:val="center"/>
          </w:tcPr>
          <w:p w14:paraId="533BD1FF" w14:textId="77777777" w:rsidR="00C01C52" w:rsidRPr="009E2B84" w:rsidRDefault="00F60FAA" w:rsidP="00C01C52">
            <w:pPr>
              <w:jc w:val="center"/>
            </w:pPr>
            <w:r>
              <w:t>Finance, Property and Assets</w:t>
            </w:r>
          </w:p>
        </w:tc>
        <w:tc>
          <w:tcPr>
            <w:tcW w:w="2551" w:type="dxa"/>
            <w:vAlign w:val="center"/>
          </w:tcPr>
          <w:p w14:paraId="533BD200" w14:textId="77777777" w:rsidR="00C01C52" w:rsidRPr="009E2B84" w:rsidRDefault="00F60FAA" w:rsidP="00C01C52">
            <w:pPr>
              <w:jc w:val="center"/>
            </w:pPr>
            <w:r w:rsidRPr="007F100A">
              <w:t>Interim Section 151 Officer</w:t>
            </w:r>
          </w:p>
        </w:tc>
      </w:tr>
    </w:tbl>
    <w:p w14:paraId="533BD202" w14:textId="77777777" w:rsidR="00C01C52" w:rsidRDefault="00F60FAA" w:rsidP="00C01C52"/>
    <w:p w14:paraId="533BD203" w14:textId="77777777" w:rsidR="00C01C52" w:rsidRDefault="00F60FAA" w:rsidP="00C01C52"/>
    <w:tbl>
      <w:tblPr>
        <w:tblW w:w="7655" w:type="dxa"/>
        <w:tblInd w:w="-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652"/>
        <w:gridCol w:w="1003"/>
      </w:tblGrid>
      <w:tr w:rsidR="002B7C48" w14:paraId="533BD206" w14:textId="77777777" w:rsidTr="00C01C52">
        <w:tc>
          <w:tcPr>
            <w:tcW w:w="6652" w:type="dxa"/>
            <w:shd w:val="clear" w:color="auto" w:fill="auto"/>
          </w:tcPr>
          <w:p w14:paraId="533BD204" w14:textId="77777777" w:rsidR="00C01C52" w:rsidRPr="009C1143" w:rsidRDefault="00F60FAA" w:rsidP="00C01C52">
            <w:pPr>
              <w:spacing w:after="120"/>
              <w:rPr>
                <w:szCs w:val="22"/>
              </w:rPr>
            </w:pPr>
            <w:r w:rsidRPr="009C1143">
              <w:rPr>
                <w:szCs w:val="22"/>
              </w:rPr>
              <w:t xml:space="preserve">Is this report a </w:t>
            </w:r>
            <w:r w:rsidRPr="009C1143">
              <w:rPr>
                <w:b/>
                <w:szCs w:val="22"/>
              </w:rPr>
              <w:t>KEY DECISION</w:t>
            </w:r>
            <w:r w:rsidRPr="009C1143">
              <w:rPr>
                <w:szCs w:val="22"/>
              </w:rPr>
              <w:t xml:space="preserve"> (i.e. more than £</w:t>
            </w:r>
            <w:r>
              <w:rPr>
                <w:szCs w:val="22"/>
              </w:rPr>
              <w:t>100</w:t>
            </w:r>
            <w:r w:rsidRPr="009C1143">
              <w:rPr>
                <w:szCs w:val="22"/>
              </w:rPr>
              <w:t xml:space="preserve">,000 or impacting on more than 2 </w:t>
            </w:r>
            <w:r w:rsidRPr="009C1143">
              <w:rPr>
                <w:szCs w:val="22"/>
              </w:rPr>
              <w:t>Borough wards?)</w:t>
            </w:r>
          </w:p>
        </w:tc>
        <w:tc>
          <w:tcPr>
            <w:tcW w:w="1003" w:type="dxa"/>
            <w:shd w:val="clear" w:color="auto" w:fill="auto"/>
          </w:tcPr>
          <w:p w14:paraId="533BD205" w14:textId="77777777" w:rsidR="00C01C52" w:rsidRPr="008A2473" w:rsidRDefault="00F60FAA" w:rsidP="00C01C52">
            <w:pPr>
              <w:rPr>
                <w:szCs w:val="22"/>
              </w:rPr>
            </w:pPr>
            <w:r w:rsidRPr="008A2473">
              <w:rPr>
                <w:szCs w:val="22"/>
              </w:rPr>
              <w:t>Yes</w:t>
            </w:r>
          </w:p>
        </w:tc>
      </w:tr>
      <w:tr w:rsidR="002B7C48" w14:paraId="533BD209" w14:textId="77777777" w:rsidTr="00C01C52">
        <w:tc>
          <w:tcPr>
            <w:tcW w:w="6652" w:type="dxa"/>
            <w:shd w:val="clear" w:color="auto" w:fill="auto"/>
          </w:tcPr>
          <w:p w14:paraId="533BD207" w14:textId="77777777" w:rsidR="00C01C52" w:rsidRPr="009C1143" w:rsidRDefault="00F60FAA" w:rsidP="00C01C52">
            <w:pPr>
              <w:spacing w:after="120"/>
              <w:rPr>
                <w:szCs w:val="22"/>
              </w:rPr>
            </w:pPr>
            <w:r w:rsidRPr="009C1143">
              <w:rPr>
                <w:szCs w:val="22"/>
              </w:rPr>
              <w:t xml:space="preserve">Is this report on the </w:t>
            </w:r>
            <w:r>
              <w:rPr>
                <w:b/>
                <w:szCs w:val="22"/>
              </w:rPr>
              <w:t xml:space="preserve">Statutory </w:t>
            </w:r>
            <w:r w:rsidRPr="009C1143">
              <w:rPr>
                <w:b/>
                <w:szCs w:val="22"/>
              </w:rPr>
              <w:t>Cabinet Forward Plan</w:t>
            </w:r>
            <w:r w:rsidRPr="009C1143">
              <w:rPr>
                <w:szCs w:val="22"/>
              </w:rPr>
              <w:t>?</w:t>
            </w:r>
          </w:p>
        </w:tc>
        <w:tc>
          <w:tcPr>
            <w:tcW w:w="1003" w:type="dxa"/>
            <w:shd w:val="clear" w:color="auto" w:fill="auto"/>
          </w:tcPr>
          <w:p w14:paraId="533BD208" w14:textId="77777777" w:rsidR="00C01C52" w:rsidRPr="008A2473" w:rsidRDefault="00F60FAA" w:rsidP="00C01C52">
            <w:pPr>
              <w:rPr>
                <w:szCs w:val="22"/>
              </w:rPr>
            </w:pPr>
            <w:r>
              <w:rPr>
                <w:szCs w:val="22"/>
              </w:rPr>
              <w:t>Yes</w:t>
            </w:r>
          </w:p>
        </w:tc>
      </w:tr>
      <w:tr w:rsidR="002B7C48" w14:paraId="533BD20C" w14:textId="77777777" w:rsidTr="00C01C52">
        <w:tc>
          <w:tcPr>
            <w:tcW w:w="6652" w:type="dxa"/>
            <w:shd w:val="clear" w:color="auto" w:fill="auto"/>
          </w:tcPr>
          <w:p w14:paraId="533BD20A" w14:textId="77777777" w:rsidR="00C01C52" w:rsidRPr="009C1143" w:rsidRDefault="00F60FAA" w:rsidP="00C01C52">
            <w:pPr>
              <w:spacing w:after="120"/>
              <w:rPr>
                <w:szCs w:val="22"/>
              </w:rPr>
            </w:pPr>
            <w:r w:rsidRPr="009C1143">
              <w:rPr>
                <w:szCs w:val="22"/>
              </w:rPr>
              <w:t>Is the request outside the policy and budgetary framework and therefore subject to confirmation at full Council?</w:t>
            </w:r>
          </w:p>
        </w:tc>
        <w:tc>
          <w:tcPr>
            <w:tcW w:w="1003" w:type="dxa"/>
            <w:shd w:val="clear" w:color="auto" w:fill="auto"/>
          </w:tcPr>
          <w:p w14:paraId="533BD20B" w14:textId="77777777" w:rsidR="00C01C52" w:rsidRPr="008A2473" w:rsidRDefault="00F60FAA" w:rsidP="00C01C52">
            <w:pPr>
              <w:rPr>
                <w:szCs w:val="22"/>
              </w:rPr>
            </w:pPr>
            <w:r w:rsidRPr="008A2473">
              <w:rPr>
                <w:szCs w:val="22"/>
              </w:rPr>
              <w:t>No</w:t>
            </w:r>
          </w:p>
        </w:tc>
      </w:tr>
      <w:tr w:rsidR="002B7C48" w14:paraId="533BD20F" w14:textId="77777777" w:rsidTr="00C01C52">
        <w:tc>
          <w:tcPr>
            <w:tcW w:w="6652" w:type="dxa"/>
            <w:shd w:val="clear" w:color="auto" w:fill="auto"/>
          </w:tcPr>
          <w:p w14:paraId="533BD20D" w14:textId="77777777" w:rsidR="00C01C52" w:rsidRPr="009C1143" w:rsidRDefault="00F60FAA" w:rsidP="00C01C52">
            <w:pPr>
              <w:spacing w:after="120"/>
              <w:rPr>
                <w:szCs w:val="22"/>
              </w:rPr>
            </w:pPr>
            <w:r>
              <w:rPr>
                <w:szCs w:val="22"/>
              </w:rPr>
              <w:t>Is this report confidential?</w:t>
            </w:r>
          </w:p>
        </w:tc>
        <w:tc>
          <w:tcPr>
            <w:tcW w:w="1003" w:type="dxa"/>
            <w:shd w:val="clear" w:color="auto" w:fill="auto"/>
          </w:tcPr>
          <w:p w14:paraId="533BD20E" w14:textId="77777777" w:rsidR="00C01C52" w:rsidRPr="008A2473" w:rsidRDefault="00F60FAA" w:rsidP="00C01C52">
            <w:pPr>
              <w:rPr>
                <w:szCs w:val="22"/>
              </w:rPr>
            </w:pPr>
            <w:r w:rsidRPr="008A2473">
              <w:rPr>
                <w:szCs w:val="22"/>
              </w:rPr>
              <w:t>No</w:t>
            </w:r>
          </w:p>
        </w:tc>
      </w:tr>
    </w:tbl>
    <w:p w14:paraId="533BD210" w14:textId="77777777" w:rsidR="00C01C52" w:rsidRDefault="00F60FAA" w:rsidP="00C01C52"/>
    <w:p w14:paraId="533BD211" w14:textId="77777777" w:rsidR="00C01C52" w:rsidRDefault="00F60FAA" w:rsidP="00C01C52"/>
    <w:p w14:paraId="533BD212" w14:textId="77777777" w:rsidR="00C01C52" w:rsidRDefault="00F60FAA" w:rsidP="00C01C52">
      <w:pPr>
        <w:pStyle w:val="Heading1"/>
      </w:pPr>
      <w:r w:rsidRPr="009C1143">
        <w:t xml:space="preserve">PURPOSE OF THE REPORT </w:t>
      </w:r>
    </w:p>
    <w:p w14:paraId="533BD213" w14:textId="77777777" w:rsidR="00C01C52" w:rsidRPr="00305BDE" w:rsidRDefault="00F60FAA" w:rsidP="00C01C52">
      <w:pPr>
        <w:pStyle w:val="ListParagraph"/>
      </w:pPr>
      <w:r w:rsidRPr="00017D6A">
        <w:t>This report provides an update on the Council’s overall financial position</w:t>
      </w:r>
      <w:r>
        <w:t xml:space="preserve"> as </w:t>
      </w:r>
      <w:r w:rsidRPr="00017D6A">
        <w:t xml:space="preserve">at the </w:t>
      </w:r>
      <w:r>
        <w:t xml:space="preserve">end </w:t>
      </w:r>
      <w:r w:rsidRPr="00300113">
        <w:t xml:space="preserve">of </w:t>
      </w:r>
      <w:r>
        <w:t>December 2019, which is quarter 3 of the financial year 2019-20.</w:t>
      </w:r>
      <w:r w:rsidRPr="00017D6A">
        <w:t xml:space="preserve">  </w:t>
      </w:r>
      <w:r>
        <w:t xml:space="preserve">The report provides </w:t>
      </w:r>
      <w:r w:rsidRPr="00017D6A">
        <w:t>a forecast of the projected outturn to 31</w:t>
      </w:r>
      <w:r w:rsidRPr="00017D6A">
        <w:rPr>
          <w:vertAlign w:val="superscript"/>
        </w:rPr>
        <w:t>st</w:t>
      </w:r>
      <w:r>
        <w:t xml:space="preserve"> </w:t>
      </w:r>
      <w:r w:rsidRPr="00017D6A">
        <w:t>March 20</w:t>
      </w:r>
      <w:r>
        <w:t>20</w:t>
      </w:r>
      <w:r w:rsidRPr="00017D6A">
        <w:t xml:space="preserve"> </w:t>
      </w:r>
      <w:r w:rsidRPr="00017D6A">
        <w:t xml:space="preserve">compared to the </w:t>
      </w:r>
      <w:r>
        <w:t xml:space="preserve">current </w:t>
      </w:r>
      <w:r w:rsidRPr="00017D6A">
        <w:t xml:space="preserve">approved </w:t>
      </w:r>
      <w:r>
        <w:t>budget and explains what the differences are and what impact they will have.</w:t>
      </w:r>
    </w:p>
    <w:p w14:paraId="533BD214" w14:textId="77777777" w:rsidR="00C01C52" w:rsidRPr="009C1143" w:rsidRDefault="00F60FAA" w:rsidP="00C01C52"/>
    <w:p w14:paraId="533BD215" w14:textId="77777777" w:rsidR="00C01C52" w:rsidRDefault="00F60FAA" w:rsidP="00C01C52">
      <w:pPr>
        <w:pStyle w:val="Heading1"/>
      </w:pPr>
      <w:r>
        <w:t xml:space="preserve">PORTFOLIO </w:t>
      </w:r>
      <w:r w:rsidRPr="009C1143">
        <w:t>RECOMMENDATIONS</w:t>
      </w:r>
    </w:p>
    <w:p w14:paraId="533BD216" w14:textId="77777777" w:rsidR="00C01C52" w:rsidRDefault="00F60FAA" w:rsidP="00C01C52">
      <w:pPr>
        <w:pStyle w:val="ListParagraph"/>
      </w:pPr>
      <w:r>
        <w:t>Cabinet notes, reviews and comments on the contents of this report.</w:t>
      </w:r>
    </w:p>
    <w:p w14:paraId="533BD217" w14:textId="77777777" w:rsidR="00C01C52" w:rsidRDefault="00F60FAA" w:rsidP="00C01C52">
      <w:pPr>
        <w:pStyle w:val="ListParagraph"/>
      </w:pPr>
      <w:r>
        <w:t xml:space="preserve">Cabinet approves the creation of a Credit </w:t>
      </w:r>
      <w:r>
        <w:t>Union Reserve and to earmark £150,000 from the forecast budget underspends to pay into this reserve.</w:t>
      </w:r>
    </w:p>
    <w:p w14:paraId="533BD218" w14:textId="77777777" w:rsidR="00C01C52" w:rsidRDefault="00F60FAA" w:rsidP="00C01C52">
      <w:pPr>
        <w:pStyle w:val="Heading1"/>
      </w:pPr>
    </w:p>
    <w:p w14:paraId="533BD219" w14:textId="77777777" w:rsidR="00C01C52" w:rsidRPr="002C71DE" w:rsidRDefault="00F60FAA" w:rsidP="00C01C52">
      <w:pPr>
        <w:pStyle w:val="Heading1"/>
      </w:pPr>
      <w:r w:rsidRPr="002C71DE">
        <w:t>REASONS FOR THE DECISION</w:t>
      </w:r>
    </w:p>
    <w:p w14:paraId="533BD21A" w14:textId="77777777" w:rsidR="00C01C52" w:rsidRPr="005701ED" w:rsidRDefault="00F60FAA" w:rsidP="00C01C52">
      <w:pPr>
        <w:pStyle w:val="ListParagraph"/>
      </w:pPr>
      <w:r w:rsidRPr="001E5A09">
        <w:t>Robust financial monitoring, including scrutiny and challenging information, is a crucial aspect of running a successful and effe</w:t>
      </w:r>
      <w:r w:rsidRPr="001E5A09">
        <w:t>ctive organisation.</w:t>
      </w:r>
    </w:p>
    <w:p w14:paraId="533BD21B" w14:textId="77777777" w:rsidR="00C01C52" w:rsidRPr="00CC4337" w:rsidRDefault="00F60FAA" w:rsidP="00C01C52">
      <w:pPr>
        <w:rPr>
          <w:szCs w:val="22"/>
        </w:rPr>
      </w:pPr>
    </w:p>
    <w:p w14:paraId="533BD21C" w14:textId="77777777" w:rsidR="00C01C52" w:rsidRPr="00E955C0" w:rsidRDefault="00F60FAA" w:rsidP="00C01C52">
      <w:pPr>
        <w:pStyle w:val="Heading1"/>
      </w:pPr>
      <w:r w:rsidRPr="00E955C0">
        <w:t>EXECUTIVE SUMMARY</w:t>
      </w:r>
    </w:p>
    <w:p w14:paraId="533BD21D" w14:textId="77777777" w:rsidR="00C01C52" w:rsidRPr="0099394F" w:rsidRDefault="00F60FAA" w:rsidP="00C01C52">
      <w:pPr>
        <w:pStyle w:val="ListParagraph"/>
      </w:pPr>
      <w:r w:rsidRPr="00E955C0">
        <w:t xml:space="preserve">The overall revenue outturn forecast for 2019/20 is a net budget saving </w:t>
      </w:r>
      <w:r w:rsidRPr="0099394F">
        <w:t>of £272,000</w:t>
      </w:r>
      <w:r w:rsidRPr="00E955C0">
        <w:t xml:space="preserve"> which represents a variance of </w:t>
      </w:r>
      <w:r>
        <w:t>1.</w:t>
      </w:r>
      <w:r w:rsidRPr="0099394F">
        <w:t>9% of</w:t>
      </w:r>
      <w:r w:rsidRPr="00E955C0">
        <w:t xml:space="preserve"> the total net budget requirement.  This is based on actuals to-date </w:t>
      </w:r>
      <w:r w:rsidRPr="0099394F">
        <w:t xml:space="preserve">and assumptions about spending and anticipated levels of income for the remainder of the financial year. Certain income sources can be assessed with more certainty; for </w:t>
      </w:r>
      <w:proofErr w:type="gramStart"/>
      <w:r w:rsidRPr="0099394F">
        <w:t>example</w:t>
      </w:r>
      <w:proofErr w:type="gramEnd"/>
      <w:r w:rsidRPr="0099394F">
        <w:t xml:space="preserve"> with Garde</w:t>
      </w:r>
      <w:r w:rsidRPr="0099394F">
        <w:t>n Waste and Trade Waste charges the majority of the income is received early in the financial year.  Other income is more volatile and therefore the forecasts are more likely to need revising as the year progresses.</w:t>
      </w:r>
    </w:p>
    <w:p w14:paraId="533BD21E" w14:textId="77777777" w:rsidR="00C01C52" w:rsidRPr="0099394F" w:rsidRDefault="00F60FAA" w:rsidP="00C01C52"/>
    <w:p w14:paraId="533BD21F" w14:textId="77777777" w:rsidR="00C01C52" w:rsidRPr="00AD5849" w:rsidRDefault="00F60FAA" w:rsidP="00C01C52">
      <w:pPr>
        <w:pStyle w:val="ListParagraph"/>
      </w:pPr>
      <w:r w:rsidRPr="00AD5849">
        <w:lastRenderedPageBreak/>
        <w:t xml:space="preserve">Of this net underspend, it is proposed </w:t>
      </w:r>
      <w:r w:rsidRPr="00AD5849">
        <w:t xml:space="preserve">that £150,000 is set aside in reserves to provide funding for a Credit Union for South </w:t>
      </w:r>
      <w:proofErr w:type="spellStart"/>
      <w:r w:rsidRPr="00AD5849">
        <w:t>Ribble</w:t>
      </w:r>
      <w:proofErr w:type="spellEnd"/>
      <w:r w:rsidRPr="00AD5849">
        <w:t xml:space="preserve"> which is a priority in the Council’s Corporate Plan</w:t>
      </w:r>
    </w:p>
    <w:p w14:paraId="533BD220" w14:textId="77777777" w:rsidR="00C01C52" w:rsidRPr="00313BB1" w:rsidRDefault="00F60FAA" w:rsidP="00C01C52">
      <w:pPr>
        <w:pStyle w:val="ListParagraph"/>
      </w:pPr>
      <w:r w:rsidRPr="00E955C0">
        <w:t xml:space="preserve">In the staffing cost forecasts, assumptions have been made in relation to the timing of recruitment </w:t>
      </w:r>
      <w:r w:rsidRPr="00313BB1">
        <w:t>to posts w</w:t>
      </w:r>
      <w:r w:rsidRPr="00313BB1">
        <w:t>hich are currently vacant.</w:t>
      </w:r>
    </w:p>
    <w:p w14:paraId="533BD221" w14:textId="77777777" w:rsidR="00C01C52" w:rsidRPr="00E955C0" w:rsidRDefault="00F60FAA" w:rsidP="00C01C52">
      <w:pPr>
        <w:pStyle w:val="ListParagraph"/>
      </w:pPr>
      <w:r w:rsidRPr="00E955C0">
        <w:t xml:space="preserve">The forecast variance of </w:t>
      </w:r>
      <w:r w:rsidRPr="00313BB1">
        <w:t>a £272,000</w:t>
      </w:r>
      <w:r w:rsidRPr="00E955C0">
        <w:t xml:space="preserve"> surplus comprises the following main items:</w:t>
      </w:r>
    </w:p>
    <w:p w14:paraId="533BD222" w14:textId="77777777" w:rsidR="00C01C52" w:rsidRPr="00E22030" w:rsidRDefault="00F60FAA" w:rsidP="00C01C52">
      <w:pPr>
        <w:pStyle w:val="ListParagraph"/>
        <w:numPr>
          <w:ilvl w:val="1"/>
          <w:numId w:val="5"/>
        </w:numPr>
        <w:spacing w:after="0"/>
        <w:ind w:left="811" w:hanging="357"/>
      </w:pPr>
      <w:r w:rsidRPr="00E22030">
        <w:t xml:space="preserve">Forecast savings in staffing costs £175,000 </w:t>
      </w:r>
    </w:p>
    <w:p w14:paraId="533BD223" w14:textId="77777777" w:rsidR="00C01C52" w:rsidRPr="00E22030" w:rsidRDefault="00F60FAA" w:rsidP="00C01C52">
      <w:pPr>
        <w:pStyle w:val="ListParagraph"/>
        <w:numPr>
          <w:ilvl w:val="1"/>
          <w:numId w:val="5"/>
        </w:numPr>
        <w:spacing w:after="0"/>
        <w:ind w:left="811" w:hanging="357"/>
      </w:pPr>
      <w:r w:rsidRPr="00E22030">
        <w:t>Increase in income forecast including Garden Waste £1</w:t>
      </w:r>
      <w:r>
        <w:t>58</w:t>
      </w:r>
      <w:r w:rsidRPr="00E22030">
        <w:t>,000</w:t>
      </w:r>
      <w:r>
        <w:t xml:space="preserve">, offset by reduced income </w:t>
      </w:r>
      <w:proofErr w:type="gramStart"/>
      <w:r>
        <w:t>from  Trade</w:t>
      </w:r>
      <w:proofErr w:type="gramEnd"/>
      <w:r>
        <w:t xml:space="preserve"> Waste,</w:t>
      </w:r>
      <w:r>
        <w:t xml:space="preserve"> Investment Property, Pre-planning fees and Land Charges £108,000</w:t>
      </w:r>
    </w:p>
    <w:p w14:paraId="533BD224" w14:textId="77777777" w:rsidR="00C01C52" w:rsidRPr="00E22030" w:rsidRDefault="00F60FAA" w:rsidP="00C01C52">
      <w:pPr>
        <w:pStyle w:val="ListParagraph"/>
        <w:numPr>
          <w:ilvl w:val="1"/>
          <w:numId w:val="5"/>
        </w:numPr>
        <w:spacing w:after="0"/>
        <w:ind w:left="811" w:hanging="357"/>
      </w:pPr>
      <w:r w:rsidRPr="00E22030">
        <w:t xml:space="preserve">New income generated from vehicle maintenance contract offset by additional staff costs; net increase in income £59,000      </w:t>
      </w:r>
    </w:p>
    <w:p w14:paraId="533BD225" w14:textId="77777777" w:rsidR="00C01C52" w:rsidRPr="00E22030" w:rsidRDefault="00F60FAA" w:rsidP="00C01C52">
      <w:pPr>
        <w:pStyle w:val="ListParagraph"/>
        <w:numPr>
          <w:ilvl w:val="1"/>
          <w:numId w:val="5"/>
        </w:numPr>
        <w:spacing w:after="0"/>
        <w:ind w:left="811" w:hanging="357"/>
      </w:pPr>
      <w:r w:rsidRPr="00E22030">
        <w:t>Increase in business rates compensatory grant funding (S31 grant</w:t>
      </w:r>
      <w:r w:rsidRPr="00E22030">
        <w:t>) £280,000</w:t>
      </w:r>
    </w:p>
    <w:p w14:paraId="533BD226" w14:textId="77777777" w:rsidR="00C01C52" w:rsidRPr="00E22030" w:rsidRDefault="00F60FAA" w:rsidP="00C01C52">
      <w:pPr>
        <w:pStyle w:val="ListParagraph"/>
        <w:numPr>
          <w:ilvl w:val="1"/>
          <w:numId w:val="5"/>
        </w:numPr>
        <w:spacing w:after="0"/>
        <w:ind w:left="811" w:hanging="357"/>
      </w:pPr>
      <w:r w:rsidRPr="00E22030">
        <w:t xml:space="preserve">Offset by: a net cost of £108,000 in relation to the waste contract </w:t>
      </w:r>
      <w:r>
        <w:t>and other cost pressures £183,000 (legal costs, fees, elections, vehicle hire, benefits and ICT costs).</w:t>
      </w:r>
    </w:p>
    <w:p w14:paraId="533BD227" w14:textId="77777777" w:rsidR="00C01C52" w:rsidRPr="001657E1" w:rsidRDefault="00F60FAA" w:rsidP="00C01C52">
      <w:pPr>
        <w:rPr>
          <w:highlight w:val="magenta"/>
        </w:rPr>
      </w:pPr>
    </w:p>
    <w:p w14:paraId="533BD228" w14:textId="77777777" w:rsidR="00C01C52" w:rsidRPr="00E955C0" w:rsidRDefault="00F60FAA" w:rsidP="00C01C52">
      <w:pPr>
        <w:pStyle w:val="ListParagraph"/>
      </w:pPr>
      <w:r w:rsidRPr="00E955C0">
        <w:t xml:space="preserve">The current capital budgets have been </w:t>
      </w:r>
      <w:r w:rsidRPr="001C490A">
        <w:t>reviewed to establish the forecast</w:t>
      </w:r>
      <w:r w:rsidRPr="001C490A">
        <w:t xml:space="preserve"> outturn expenditure and any re-phasing of schemes into future years.  The total capital budget forecast for 2019/20 is £4,129,000, with £6,123,000 identified as potential slippage identified at this stage in the year</w:t>
      </w:r>
      <w:r>
        <w:t xml:space="preserve"> against the approved 2019/20 budget</w:t>
      </w:r>
      <w:r w:rsidRPr="001C490A">
        <w:t>.</w:t>
      </w:r>
      <w:r w:rsidRPr="00E955C0">
        <w:t xml:space="preserve">  </w:t>
      </w:r>
      <w:r w:rsidRPr="00E955C0">
        <w:t xml:space="preserve">Further details </w:t>
      </w:r>
      <w:proofErr w:type="gramStart"/>
      <w:r>
        <w:t>with regard to</w:t>
      </w:r>
      <w:proofErr w:type="gramEnd"/>
      <w:r>
        <w:t xml:space="preserve"> progress on individual schemes is </w:t>
      </w:r>
      <w:r w:rsidRPr="00E955C0">
        <w:t>provided in the body of the report and Appendix A (attached).</w:t>
      </w:r>
    </w:p>
    <w:p w14:paraId="533BD229" w14:textId="77777777" w:rsidR="00C01C52" w:rsidRPr="00970C70" w:rsidRDefault="00F60FAA" w:rsidP="00C01C52"/>
    <w:p w14:paraId="533BD22A" w14:textId="77777777" w:rsidR="00C01C52" w:rsidRDefault="00F60FAA" w:rsidP="00C01C52">
      <w:pPr>
        <w:pStyle w:val="Heading1"/>
      </w:pPr>
      <w:r w:rsidRPr="008C04DA">
        <w:t>CORPORATE PRIORITIES</w:t>
      </w:r>
    </w:p>
    <w:p w14:paraId="533BD22B" w14:textId="77777777" w:rsidR="00C01C52" w:rsidRPr="00305BDE" w:rsidRDefault="00F60FAA" w:rsidP="00C01C52">
      <w:pPr>
        <w:pStyle w:val="ListParagraph"/>
      </w:pPr>
      <w:r w:rsidRPr="00305BDE">
        <w:t>The report relates to the following corporate priorities: (tick all those applicable):</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B7C48" w14:paraId="533BD22E" w14:textId="77777777" w:rsidTr="00C01C52">
        <w:tc>
          <w:tcPr>
            <w:tcW w:w="4423" w:type="dxa"/>
            <w:shd w:val="clear" w:color="auto" w:fill="auto"/>
          </w:tcPr>
          <w:p w14:paraId="533BD22C" w14:textId="77777777" w:rsidR="00C01C52" w:rsidRPr="000828CC" w:rsidRDefault="00F60FAA" w:rsidP="00C01C52">
            <w:pPr>
              <w:rPr>
                <w:szCs w:val="22"/>
              </w:rPr>
            </w:pPr>
            <w:r w:rsidRPr="000828CC">
              <w:rPr>
                <w:szCs w:val="22"/>
              </w:rPr>
              <w:t>Excellence and Finan</w:t>
            </w:r>
            <w:r w:rsidRPr="000828CC">
              <w:rPr>
                <w:szCs w:val="22"/>
              </w:rPr>
              <w:t>cial Sustainability</w:t>
            </w:r>
          </w:p>
        </w:tc>
        <w:tc>
          <w:tcPr>
            <w:tcW w:w="850" w:type="dxa"/>
            <w:shd w:val="clear" w:color="auto" w:fill="auto"/>
          </w:tcPr>
          <w:p w14:paraId="533BD22D" w14:textId="77777777" w:rsidR="00C01C52" w:rsidRPr="00305BDE" w:rsidRDefault="00F60FAA" w:rsidP="00C01C52">
            <w:pPr>
              <w:jc w:val="center"/>
              <w:rPr>
                <w:szCs w:val="22"/>
              </w:rPr>
            </w:pPr>
            <w:r>
              <w:rPr>
                <w:rFonts w:ascii="Wingdings 2" w:hAnsi="Wingdings 2"/>
                <w:szCs w:val="22"/>
              </w:rPr>
              <w:sym w:font="Wingdings 2" w:char="F050"/>
            </w:r>
          </w:p>
        </w:tc>
      </w:tr>
      <w:tr w:rsidR="002B7C48" w14:paraId="533BD231" w14:textId="77777777" w:rsidTr="00C01C52">
        <w:tc>
          <w:tcPr>
            <w:tcW w:w="4423" w:type="dxa"/>
            <w:shd w:val="clear" w:color="auto" w:fill="auto"/>
          </w:tcPr>
          <w:p w14:paraId="533BD22F" w14:textId="77777777" w:rsidR="00C01C52" w:rsidRPr="000828CC" w:rsidRDefault="00F60FAA" w:rsidP="00C01C52">
            <w:pPr>
              <w:rPr>
                <w:szCs w:val="22"/>
              </w:rPr>
            </w:pPr>
            <w:r w:rsidRPr="000828CC">
              <w:rPr>
                <w:szCs w:val="22"/>
              </w:rPr>
              <w:t>Health and Wellbeing</w:t>
            </w:r>
          </w:p>
        </w:tc>
        <w:tc>
          <w:tcPr>
            <w:tcW w:w="850" w:type="dxa"/>
            <w:shd w:val="clear" w:color="auto" w:fill="auto"/>
          </w:tcPr>
          <w:p w14:paraId="533BD230" w14:textId="77777777" w:rsidR="00C01C52" w:rsidRPr="00305BDE" w:rsidRDefault="00F60FAA" w:rsidP="00C01C52">
            <w:pPr>
              <w:jc w:val="center"/>
              <w:rPr>
                <w:szCs w:val="22"/>
              </w:rPr>
            </w:pPr>
          </w:p>
        </w:tc>
      </w:tr>
      <w:tr w:rsidR="002B7C48" w14:paraId="533BD234" w14:textId="77777777" w:rsidTr="00C01C52">
        <w:tc>
          <w:tcPr>
            <w:tcW w:w="4423" w:type="dxa"/>
            <w:shd w:val="clear" w:color="auto" w:fill="auto"/>
          </w:tcPr>
          <w:p w14:paraId="533BD232" w14:textId="77777777" w:rsidR="00C01C52" w:rsidRPr="000828CC" w:rsidRDefault="00F60FAA" w:rsidP="00C01C52">
            <w:pPr>
              <w:rPr>
                <w:szCs w:val="22"/>
              </w:rPr>
            </w:pPr>
            <w:r w:rsidRPr="000828CC">
              <w:rPr>
                <w:szCs w:val="22"/>
              </w:rPr>
              <w:t>Place</w:t>
            </w:r>
          </w:p>
        </w:tc>
        <w:tc>
          <w:tcPr>
            <w:tcW w:w="850" w:type="dxa"/>
            <w:shd w:val="clear" w:color="auto" w:fill="auto"/>
          </w:tcPr>
          <w:p w14:paraId="533BD233" w14:textId="77777777" w:rsidR="00C01C52" w:rsidRPr="00305BDE" w:rsidRDefault="00F60FAA" w:rsidP="00C01C52">
            <w:pPr>
              <w:jc w:val="center"/>
              <w:rPr>
                <w:szCs w:val="22"/>
              </w:rPr>
            </w:pPr>
          </w:p>
        </w:tc>
      </w:tr>
    </w:tbl>
    <w:p w14:paraId="533BD235" w14:textId="77777777" w:rsidR="00C01C52" w:rsidRDefault="00F60FAA" w:rsidP="00C01C52"/>
    <w:p w14:paraId="533BD236" w14:textId="77777777" w:rsidR="00C01C52" w:rsidRDefault="00F60FAA" w:rsidP="00C01C52">
      <w:pPr>
        <w:ind w:firstLine="720"/>
      </w:pPr>
      <w:r>
        <w:t>Projects relating to People in the Corporate Plan:</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B7C48" w14:paraId="533BD239" w14:textId="77777777" w:rsidTr="00C01C52">
        <w:tc>
          <w:tcPr>
            <w:tcW w:w="4423" w:type="dxa"/>
            <w:shd w:val="clear" w:color="auto" w:fill="auto"/>
          </w:tcPr>
          <w:p w14:paraId="533BD237" w14:textId="77777777" w:rsidR="00C01C52" w:rsidRPr="000828CC" w:rsidRDefault="00F60FAA" w:rsidP="00C01C52">
            <w:pPr>
              <w:rPr>
                <w:szCs w:val="22"/>
              </w:rPr>
            </w:pPr>
            <w:r>
              <w:rPr>
                <w:szCs w:val="22"/>
              </w:rPr>
              <w:t xml:space="preserve">People </w:t>
            </w:r>
          </w:p>
        </w:tc>
        <w:tc>
          <w:tcPr>
            <w:tcW w:w="850" w:type="dxa"/>
            <w:shd w:val="clear" w:color="auto" w:fill="auto"/>
          </w:tcPr>
          <w:p w14:paraId="533BD238" w14:textId="77777777" w:rsidR="00C01C52" w:rsidRPr="009C1143" w:rsidRDefault="00F60FAA" w:rsidP="00C01C52">
            <w:pPr>
              <w:jc w:val="center"/>
              <w:rPr>
                <w:szCs w:val="22"/>
              </w:rPr>
            </w:pPr>
          </w:p>
        </w:tc>
      </w:tr>
    </w:tbl>
    <w:p w14:paraId="533BD23A" w14:textId="77777777" w:rsidR="00C01C52" w:rsidRDefault="00F60FAA" w:rsidP="00C01C52"/>
    <w:p w14:paraId="533BD23B" w14:textId="77777777" w:rsidR="00C01C52" w:rsidRPr="008C04DA" w:rsidRDefault="00F60FAA" w:rsidP="00C01C52"/>
    <w:p w14:paraId="533BD23C" w14:textId="77777777" w:rsidR="00C01C52" w:rsidRDefault="00F60FAA" w:rsidP="00C01C52">
      <w:pPr>
        <w:pStyle w:val="Heading1"/>
      </w:pPr>
      <w:r w:rsidRPr="008C04DA">
        <w:t>BACKGROUND TO THE REPORT</w:t>
      </w:r>
    </w:p>
    <w:p w14:paraId="533BD23D" w14:textId="77777777" w:rsidR="00C01C52" w:rsidRPr="00C45617" w:rsidRDefault="00F60FAA" w:rsidP="00C01C52">
      <w:pPr>
        <w:pStyle w:val="ListParagraph"/>
      </w:pPr>
      <w:r>
        <w:t xml:space="preserve">The 2019/20 budget and </w:t>
      </w:r>
      <w:proofErr w:type="gramStart"/>
      <w:r>
        <w:t>Medium Term</w:t>
      </w:r>
      <w:proofErr w:type="gramEnd"/>
      <w:r>
        <w:t xml:space="preserve"> Financial Strategy (MTFS) 2019/20 to 2022/23 was </w:t>
      </w:r>
      <w:r w:rsidRPr="00C45617">
        <w:t>approved by full Council on 27</w:t>
      </w:r>
      <w:r w:rsidRPr="00C45617">
        <w:rPr>
          <w:vertAlign w:val="superscript"/>
        </w:rPr>
        <w:t>th</w:t>
      </w:r>
      <w:r w:rsidRPr="00C45617">
        <w:t xml:space="preserve"> February 2019.</w:t>
      </w:r>
    </w:p>
    <w:p w14:paraId="533BD23E" w14:textId="77777777" w:rsidR="00C01C52" w:rsidRPr="00C45617" w:rsidRDefault="00F60FAA" w:rsidP="00C01C52">
      <w:pPr>
        <w:pStyle w:val="ListParagraph"/>
      </w:pPr>
      <w:r w:rsidRPr="00C45617">
        <w:t>The net cost of services revenue budget was £14,484,000.  An increase of 1.99% in Council Tax</w:t>
      </w:r>
      <w:r>
        <w:t xml:space="preserve"> was approved, with a budget in</w:t>
      </w:r>
      <w:r>
        <w:t xml:space="preserve">come figure of £153,000.  After applying other sources of funding </w:t>
      </w:r>
      <w:r w:rsidRPr="00C45617">
        <w:t>as well, there was an overall surplus of £716,000 that was budgeted to be transferred back into the capital funding reserve to help fund the sizeable capital programme.</w:t>
      </w:r>
    </w:p>
    <w:p w14:paraId="533BD23F" w14:textId="77777777" w:rsidR="00C01C52" w:rsidRDefault="00F60FAA" w:rsidP="00C01C52">
      <w:pPr>
        <w:pStyle w:val="ListParagraph"/>
      </w:pPr>
      <w:r w:rsidRPr="00C45617">
        <w:t>The capital programme</w:t>
      </w:r>
      <w:r w:rsidRPr="00C45617">
        <w:t xml:space="preserve"> totalled £41,383,000 over the next 4 financial years, with a total budget of</w:t>
      </w:r>
      <w:r>
        <w:t xml:space="preserve"> £12,908,000 in 2019/20. The current budget, including slippage from 2018/19 and additional schemes approved during the year is £15,026,000. </w:t>
      </w:r>
    </w:p>
    <w:p w14:paraId="533BD240" w14:textId="77777777" w:rsidR="00C01C52" w:rsidRDefault="00F60FAA" w:rsidP="00C01C52">
      <w:pPr>
        <w:pStyle w:val="Heading1"/>
      </w:pPr>
    </w:p>
    <w:p w14:paraId="533BD241" w14:textId="77777777" w:rsidR="00C01C52" w:rsidRDefault="00F60FAA">
      <w:pPr>
        <w:spacing w:after="160" w:line="259" w:lineRule="auto"/>
        <w:jc w:val="left"/>
        <w:rPr>
          <w:b/>
          <w:caps/>
        </w:rPr>
      </w:pPr>
      <w:r>
        <w:br w:type="page"/>
      </w:r>
    </w:p>
    <w:p w14:paraId="533BD242" w14:textId="77777777" w:rsidR="00C01C52" w:rsidRDefault="00F60FAA" w:rsidP="00C01C52">
      <w:pPr>
        <w:pStyle w:val="Heading1"/>
      </w:pPr>
      <w:r>
        <w:lastRenderedPageBreak/>
        <w:t>Information</w:t>
      </w:r>
    </w:p>
    <w:p w14:paraId="533BD243" w14:textId="77777777" w:rsidR="00C01C52" w:rsidRDefault="00F60FAA" w:rsidP="00C01C52">
      <w:pPr>
        <w:pStyle w:val="Heading2"/>
      </w:pPr>
      <w:r w:rsidRPr="00594ED5">
        <w:t>Revenue Summary</w:t>
      </w:r>
    </w:p>
    <w:p w14:paraId="533BD244" w14:textId="77777777" w:rsidR="00C01C52" w:rsidRPr="00C412F9" w:rsidRDefault="00F60FAA" w:rsidP="00C01C52">
      <w:pPr>
        <w:pStyle w:val="ListParagraph"/>
      </w:pPr>
      <w:r w:rsidRPr="00DB7912">
        <w:t>In the</w:t>
      </w:r>
      <w:r w:rsidRPr="00DB7912">
        <w:t xml:space="preserve"> Quarter 2 budget monitoring report to Cabinet in November, a forecast budget surplus of £515,000 was reported.  </w:t>
      </w:r>
      <w:r>
        <w:t>This included new budgets approved by Cabinet in September: a bud</w:t>
      </w:r>
      <w:r w:rsidRPr="00DB7912">
        <w:t>get of £75,000 for hosting a music event in the Borough in summer 2020, to cas</w:t>
      </w:r>
      <w:r w:rsidRPr="00DB7912">
        <w:t>h flow the initial phase of the festival preparations</w:t>
      </w:r>
      <w:r>
        <w:t xml:space="preserve">; and </w:t>
      </w:r>
      <w:r w:rsidRPr="00DB7912">
        <w:t xml:space="preserve">an additional budget of £50,000 for professional support </w:t>
      </w:r>
      <w:r>
        <w:t>for the Leisure services review.</w:t>
      </w:r>
    </w:p>
    <w:p w14:paraId="533BD245" w14:textId="77777777" w:rsidR="00C01C52" w:rsidRDefault="00F60FAA" w:rsidP="00C01C52">
      <w:pPr>
        <w:pStyle w:val="ListParagraph"/>
      </w:pPr>
      <w:r w:rsidRPr="00AD5849">
        <w:t xml:space="preserve">Table 1 summarises by directorate the revenue budget variations that are expected to impact on the outturn </w:t>
      </w:r>
      <w:r w:rsidRPr="00AD5849">
        <w:t>position at 31</w:t>
      </w:r>
      <w:r w:rsidRPr="00AD5849">
        <w:rPr>
          <w:vertAlign w:val="superscript"/>
        </w:rPr>
        <w:t>st</w:t>
      </w:r>
      <w:r w:rsidRPr="00AD5849">
        <w:t xml:space="preserve"> March 2020.  The overall forecast is a surplus, compared to the budget, of £272,000. The ‘Current Budget’ below includes approved budget changes, virements and release of budgets brought forward from reserves.</w:t>
      </w:r>
    </w:p>
    <w:p w14:paraId="533BD246" w14:textId="77777777" w:rsidR="00C01C52" w:rsidRPr="00AD5849" w:rsidRDefault="00F60FAA" w:rsidP="00C01C52">
      <w:pPr>
        <w:pStyle w:val="ListParagraph"/>
      </w:pPr>
      <w:r>
        <w:t xml:space="preserve">Table 2 below lists the main </w:t>
      </w:r>
      <w:r>
        <w:t xml:space="preserve">variances within </w:t>
      </w:r>
      <w:proofErr w:type="gramStart"/>
      <w:r>
        <w:t>particular service</w:t>
      </w:r>
      <w:proofErr w:type="gramEnd"/>
      <w:r>
        <w:t xml:space="preserve"> areas that affect the forecast.</w:t>
      </w:r>
    </w:p>
    <w:p w14:paraId="533BD247" w14:textId="77777777" w:rsidR="00C01C52" w:rsidRDefault="00F60FAA" w:rsidP="00C01C52"/>
    <w:p w14:paraId="533BD248" w14:textId="77777777" w:rsidR="00C01C52" w:rsidRDefault="00F60FAA">
      <w:pPr>
        <w:spacing w:after="160" w:line="259" w:lineRule="auto"/>
        <w:jc w:val="left"/>
        <w:rPr>
          <w:b/>
        </w:rPr>
      </w:pPr>
      <w:r>
        <w:br w:type="page"/>
      </w:r>
    </w:p>
    <w:p w14:paraId="533BD249" w14:textId="77777777" w:rsidR="00C01C52" w:rsidRDefault="00F60FAA" w:rsidP="00C01C52">
      <w:pPr>
        <w:pStyle w:val="Heading3"/>
      </w:pPr>
      <w:r w:rsidRPr="00DA32D0">
        <w:lastRenderedPageBreak/>
        <w:t>Table 1: Revenue Budget Summary – Quarter 3 forecasts</w:t>
      </w:r>
    </w:p>
    <w:p w14:paraId="533BD24A" w14:textId="77777777" w:rsidR="00C01C52" w:rsidRPr="00FD090E" w:rsidRDefault="00F60FAA" w:rsidP="00C01C52"/>
    <w:tbl>
      <w:tblPr>
        <w:tblW w:w="9923"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3828"/>
        <w:gridCol w:w="1686"/>
        <w:gridCol w:w="1574"/>
        <w:gridCol w:w="1417"/>
        <w:gridCol w:w="1418"/>
      </w:tblGrid>
      <w:tr w:rsidR="002B7C48" w14:paraId="533BD256" w14:textId="77777777" w:rsidTr="00C01C52">
        <w:trPr>
          <w:trHeight w:val="340"/>
        </w:trPr>
        <w:tc>
          <w:tcPr>
            <w:tcW w:w="3828" w:type="dxa"/>
            <w:tcBorders>
              <w:top w:val="single" w:sz="4" w:space="0" w:color="auto"/>
              <w:bottom w:val="single" w:sz="4" w:space="0" w:color="auto"/>
              <w:right w:val="nil"/>
            </w:tcBorders>
            <w:shd w:val="clear" w:color="auto" w:fill="D9D9D9"/>
          </w:tcPr>
          <w:p w14:paraId="533BD24B" w14:textId="77777777" w:rsidR="00C01C52" w:rsidRPr="008B1229" w:rsidRDefault="00F60FAA" w:rsidP="00C01C52">
            <w:pPr>
              <w:jc w:val="left"/>
              <w:rPr>
                <w:b/>
              </w:rPr>
            </w:pPr>
          </w:p>
        </w:tc>
        <w:tc>
          <w:tcPr>
            <w:tcW w:w="1686" w:type="dxa"/>
            <w:tcBorders>
              <w:top w:val="single" w:sz="4" w:space="0" w:color="auto"/>
              <w:left w:val="nil"/>
              <w:bottom w:val="single" w:sz="4" w:space="0" w:color="auto"/>
              <w:right w:val="nil"/>
            </w:tcBorders>
            <w:shd w:val="clear" w:color="auto" w:fill="D9D9D9"/>
          </w:tcPr>
          <w:p w14:paraId="533BD24C" w14:textId="77777777" w:rsidR="00C01C52" w:rsidRPr="00A03453" w:rsidRDefault="00F60FAA" w:rsidP="00C01C52">
            <w:pPr>
              <w:jc w:val="center"/>
              <w:rPr>
                <w:b/>
              </w:rPr>
            </w:pPr>
            <w:r w:rsidRPr="00A03453">
              <w:rPr>
                <w:b/>
              </w:rPr>
              <w:t>Full Year</w:t>
            </w:r>
          </w:p>
          <w:p w14:paraId="533BD24D" w14:textId="77777777" w:rsidR="00C01C52" w:rsidRPr="008B1229" w:rsidRDefault="00F60FAA" w:rsidP="00C01C52">
            <w:pPr>
              <w:jc w:val="center"/>
              <w:rPr>
                <w:b/>
              </w:rPr>
            </w:pPr>
            <w:r w:rsidRPr="00A03453">
              <w:rPr>
                <w:b/>
              </w:rPr>
              <w:t>Budget</w:t>
            </w:r>
          </w:p>
          <w:p w14:paraId="533BD24E" w14:textId="77777777" w:rsidR="00C01C52" w:rsidRPr="008B1229" w:rsidRDefault="00F60FAA" w:rsidP="00C01C52">
            <w:pPr>
              <w:jc w:val="center"/>
              <w:rPr>
                <w:b/>
              </w:rPr>
            </w:pPr>
            <w:r w:rsidRPr="008B1229">
              <w:rPr>
                <w:b/>
              </w:rPr>
              <w:t>£’000</w:t>
            </w:r>
          </w:p>
        </w:tc>
        <w:tc>
          <w:tcPr>
            <w:tcW w:w="1574" w:type="dxa"/>
            <w:tcBorders>
              <w:top w:val="single" w:sz="4" w:space="0" w:color="auto"/>
              <w:left w:val="nil"/>
              <w:bottom w:val="single" w:sz="4" w:space="0" w:color="auto"/>
              <w:right w:val="nil"/>
            </w:tcBorders>
            <w:shd w:val="clear" w:color="auto" w:fill="D9D9D9"/>
          </w:tcPr>
          <w:p w14:paraId="533BD24F" w14:textId="77777777" w:rsidR="00C01C52" w:rsidRDefault="00F60FAA" w:rsidP="00C01C52">
            <w:pPr>
              <w:jc w:val="center"/>
              <w:rPr>
                <w:b/>
              </w:rPr>
            </w:pPr>
            <w:r>
              <w:rPr>
                <w:b/>
              </w:rPr>
              <w:t>Current Budget</w:t>
            </w:r>
          </w:p>
          <w:p w14:paraId="533BD250" w14:textId="77777777" w:rsidR="00C01C52" w:rsidRDefault="00F60FAA" w:rsidP="00C01C52">
            <w:pPr>
              <w:jc w:val="center"/>
              <w:rPr>
                <w:b/>
              </w:rPr>
            </w:pPr>
            <w:r>
              <w:rPr>
                <w:b/>
              </w:rPr>
              <w:t>£’000</w:t>
            </w:r>
          </w:p>
        </w:tc>
        <w:tc>
          <w:tcPr>
            <w:tcW w:w="1417" w:type="dxa"/>
            <w:tcBorders>
              <w:top w:val="single" w:sz="4" w:space="0" w:color="auto"/>
              <w:left w:val="nil"/>
              <w:bottom w:val="single" w:sz="4" w:space="0" w:color="auto"/>
              <w:right w:val="nil"/>
            </w:tcBorders>
            <w:shd w:val="clear" w:color="auto" w:fill="D9D9D9"/>
          </w:tcPr>
          <w:p w14:paraId="533BD251" w14:textId="77777777" w:rsidR="00C01C52" w:rsidRPr="008B1229" w:rsidRDefault="00F60FAA" w:rsidP="00C01C52">
            <w:pPr>
              <w:jc w:val="center"/>
              <w:rPr>
                <w:b/>
              </w:rPr>
            </w:pPr>
            <w:r>
              <w:rPr>
                <w:b/>
              </w:rPr>
              <w:t>Forecast Outturn</w:t>
            </w:r>
          </w:p>
          <w:p w14:paraId="533BD252" w14:textId="77777777" w:rsidR="00C01C52" w:rsidRPr="008B1229" w:rsidRDefault="00F60FAA" w:rsidP="00C01C52">
            <w:pPr>
              <w:jc w:val="center"/>
              <w:rPr>
                <w:b/>
              </w:rPr>
            </w:pPr>
            <w:r w:rsidRPr="008B1229">
              <w:rPr>
                <w:b/>
              </w:rPr>
              <w:t>£’000</w:t>
            </w:r>
          </w:p>
        </w:tc>
        <w:tc>
          <w:tcPr>
            <w:tcW w:w="1418" w:type="dxa"/>
            <w:tcBorders>
              <w:top w:val="single" w:sz="4" w:space="0" w:color="auto"/>
              <w:left w:val="nil"/>
              <w:bottom w:val="single" w:sz="4" w:space="0" w:color="auto"/>
            </w:tcBorders>
            <w:shd w:val="clear" w:color="auto" w:fill="D9D9D9"/>
          </w:tcPr>
          <w:p w14:paraId="533BD253" w14:textId="77777777" w:rsidR="00C01C52" w:rsidRPr="008B1229" w:rsidRDefault="00F60FAA" w:rsidP="00C01C52">
            <w:pPr>
              <w:jc w:val="center"/>
              <w:rPr>
                <w:b/>
              </w:rPr>
            </w:pPr>
            <w:r w:rsidRPr="008B1229">
              <w:rPr>
                <w:b/>
              </w:rPr>
              <w:t>Forecast</w:t>
            </w:r>
          </w:p>
          <w:p w14:paraId="533BD254" w14:textId="77777777" w:rsidR="00C01C52" w:rsidRPr="008B1229" w:rsidRDefault="00F60FAA" w:rsidP="00C01C52">
            <w:pPr>
              <w:jc w:val="center"/>
              <w:rPr>
                <w:b/>
              </w:rPr>
            </w:pPr>
            <w:r>
              <w:rPr>
                <w:b/>
              </w:rPr>
              <w:t>Variances</w:t>
            </w:r>
          </w:p>
          <w:p w14:paraId="533BD255" w14:textId="77777777" w:rsidR="00C01C52" w:rsidRPr="008B1229" w:rsidRDefault="00F60FAA" w:rsidP="00C01C52">
            <w:pPr>
              <w:jc w:val="center"/>
              <w:rPr>
                <w:b/>
              </w:rPr>
            </w:pPr>
            <w:r w:rsidRPr="008B1229">
              <w:rPr>
                <w:b/>
              </w:rPr>
              <w:t>£’000</w:t>
            </w:r>
          </w:p>
        </w:tc>
      </w:tr>
      <w:tr w:rsidR="002B7C48" w14:paraId="533BD25C" w14:textId="77777777" w:rsidTr="00C01C52">
        <w:trPr>
          <w:trHeight w:val="340"/>
        </w:trPr>
        <w:tc>
          <w:tcPr>
            <w:tcW w:w="3828" w:type="dxa"/>
            <w:tcBorders>
              <w:top w:val="single" w:sz="4" w:space="0" w:color="auto"/>
              <w:bottom w:val="nil"/>
              <w:right w:val="nil"/>
            </w:tcBorders>
            <w:shd w:val="clear" w:color="auto" w:fill="auto"/>
            <w:vAlign w:val="center"/>
          </w:tcPr>
          <w:p w14:paraId="533BD257" w14:textId="77777777" w:rsidR="00C01C52" w:rsidRDefault="00F60FAA" w:rsidP="00C01C52">
            <w:pPr>
              <w:jc w:val="left"/>
            </w:pPr>
            <w:r>
              <w:t>Chief Executive</w:t>
            </w:r>
          </w:p>
        </w:tc>
        <w:tc>
          <w:tcPr>
            <w:tcW w:w="1686" w:type="dxa"/>
            <w:tcBorders>
              <w:top w:val="single" w:sz="4" w:space="0" w:color="auto"/>
              <w:left w:val="nil"/>
              <w:bottom w:val="nil"/>
              <w:right w:val="nil"/>
            </w:tcBorders>
            <w:shd w:val="clear" w:color="auto" w:fill="auto"/>
            <w:tcMar>
              <w:left w:w="57" w:type="dxa"/>
              <w:right w:w="454" w:type="dxa"/>
            </w:tcMar>
            <w:vAlign w:val="center"/>
          </w:tcPr>
          <w:p w14:paraId="533BD258" w14:textId="77777777" w:rsidR="00C01C52" w:rsidRDefault="00F60FAA" w:rsidP="00C01C52">
            <w:pPr>
              <w:jc w:val="right"/>
            </w:pPr>
            <w:r>
              <w:t>864</w:t>
            </w:r>
          </w:p>
        </w:tc>
        <w:tc>
          <w:tcPr>
            <w:tcW w:w="1574" w:type="dxa"/>
            <w:tcBorders>
              <w:top w:val="single" w:sz="4" w:space="0" w:color="auto"/>
              <w:left w:val="nil"/>
              <w:bottom w:val="nil"/>
              <w:right w:val="nil"/>
            </w:tcBorders>
            <w:tcMar>
              <w:left w:w="57" w:type="dxa"/>
              <w:right w:w="454" w:type="dxa"/>
            </w:tcMar>
            <w:vAlign w:val="center"/>
          </w:tcPr>
          <w:p w14:paraId="533BD259" w14:textId="77777777" w:rsidR="00C01C52" w:rsidRDefault="00F60FAA" w:rsidP="00C01C52">
            <w:pPr>
              <w:jc w:val="right"/>
            </w:pPr>
            <w:r>
              <w:t>895</w:t>
            </w:r>
          </w:p>
        </w:tc>
        <w:tc>
          <w:tcPr>
            <w:tcW w:w="1417" w:type="dxa"/>
            <w:tcBorders>
              <w:top w:val="single" w:sz="4" w:space="0" w:color="auto"/>
              <w:left w:val="nil"/>
              <w:bottom w:val="nil"/>
              <w:right w:val="nil"/>
            </w:tcBorders>
            <w:shd w:val="clear" w:color="auto" w:fill="auto"/>
            <w:tcMar>
              <w:left w:w="57" w:type="dxa"/>
              <w:right w:w="454" w:type="dxa"/>
            </w:tcMar>
            <w:vAlign w:val="center"/>
          </w:tcPr>
          <w:p w14:paraId="533BD25A" w14:textId="77777777" w:rsidR="00C01C52" w:rsidRDefault="00F60FAA" w:rsidP="00C01C52">
            <w:pPr>
              <w:jc w:val="right"/>
            </w:pPr>
            <w:r>
              <w:t>905</w:t>
            </w:r>
          </w:p>
        </w:tc>
        <w:tc>
          <w:tcPr>
            <w:tcW w:w="1418" w:type="dxa"/>
            <w:tcBorders>
              <w:top w:val="single" w:sz="4" w:space="0" w:color="auto"/>
              <w:left w:val="nil"/>
              <w:bottom w:val="nil"/>
            </w:tcBorders>
            <w:shd w:val="clear" w:color="auto" w:fill="auto"/>
            <w:tcMar>
              <w:left w:w="57" w:type="dxa"/>
              <w:right w:w="454" w:type="dxa"/>
            </w:tcMar>
            <w:vAlign w:val="center"/>
          </w:tcPr>
          <w:p w14:paraId="533BD25B" w14:textId="77777777" w:rsidR="00C01C52" w:rsidRDefault="00F60FAA" w:rsidP="00C01C52">
            <w:pPr>
              <w:jc w:val="right"/>
            </w:pPr>
            <w:r>
              <w:t>10</w:t>
            </w:r>
          </w:p>
        </w:tc>
      </w:tr>
      <w:tr w:rsidR="002B7C48" w14:paraId="533BD262" w14:textId="77777777" w:rsidTr="00C01C52">
        <w:trPr>
          <w:trHeight w:val="340"/>
        </w:trPr>
        <w:tc>
          <w:tcPr>
            <w:tcW w:w="3828" w:type="dxa"/>
            <w:tcBorders>
              <w:top w:val="nil"/>
              <w:bottom w:val="nil"/>
              <w:right w:val="nil"/>
            </w:tcBorders>
            <w:shd w:val="clear" w:color="auto" w:fill="auto"/>
            <w:vAlign w:val="center"/>
          </w:tcPr>
          <w:p w14:paraId="533BD25D" w14:textId="77777777" w:rsidR="00C01C52" w:rsidRDefault="00F60FAA" w:rsidP="00C01C52">
            <w:pPr>
              <w:jc w:val="left"/>
            </w:pPr>
            <w:r>
              <w:t>Neighbourhoods &amp; Development</w:t>
            </w:r>
          </w:p>
        </w:tc>
        <w:tc>
          <w:tcPr>
            <w:tcW w:w="1686" w:type="dxa"/>
            <w:tcBorders>
              <w:top w:val="nil"/>
              <w:left w:val="nil"/>
              <w:bottom w:val="nil"/>
              <w:right w:val="nil"/>
            </w:tcBorders>
            <w:shd w:val="clear" w:color="auto" w:fill="auto"/>
            <w:tcMar>
              <w:left w:w="57" w:type="dxa"/>
              <w:right w:w="454" w:type="dxa"/>
            </w:tcMar>
            <w:vAlign w:val="center"/>
          </w:tcPr>
          <w:p w14:paraId="533BD25E" w14:textId="77777777" w:rsidR="00C01C52" w:rsidRDefault="00F60FAA" w:rsidP="00C01C52">
            <w:pPr>
              <w:jc w:val="right"/>
            </w:pPr>
            <w:r>
              <w:t>6,484</w:t>
            </w:r>
          </w:p>
        </w:tc>
        <w:tc>
          <w:tcPr>
            <w:tcW w:w="1574" w:type="dxa"/>
            <w:tcBorders>
              <w:top w:val="nil"/>
              <w:left w:val="nil"/>
              <w:bottom w:val="nil"/>
              <w:right w:val="nil"/>
            </w:tcBorders>
            <w:tcMar>
              <w:left w:w="57" w:type="dxa"/>
              <w:right w:w="454" w:type="dxa"/>
            </w:tcMar>
            <w:vAlign w:val="center"/>
          </w:tcPr>
          <w:p w14:paraId="533BD25F" w14:textId="77777777" w:rsidR="00C01C52" w:rsidRDefault="00F60FAA" w:rsidP="00C01C52">
            <w:pPr>
              <w:jc w:val="right"/>
            </w:pPr>
            <w:r>
              <w:t>6,482</w:t>
            </w:r>
          </w:p>
        </w:tc>
        <w:tc>
          <w:tcPr>
            <w:tcW w:w="1417" w:type="dxa"/>
            <w:tcBorders>
              <w:top w:val="nil"/>
              <w:left w:val="nil"/>
              <w:bottom w:val="nil"/>
              <w:right w:val="nil"/>
            </w:tcBorders>
            <w:shd w:val="clear" w:color="auto" w:fill="auto"/>
            <w:tcMar>
              <w:left w:w="57" w:type="dxa"/>
              <w:right w:w="454" w:type="dxa"/>
            </w:tcMar>
            <w:vAlign w:val="center"/>
          </w:tcPr>
          <w:p w14:paraId="533BD260" w14:textId="77777777" w:rsidR="00C01C52" w:rsidRDefault="00F60FAA" w:rsidP="00C01C52">
            <w:pPr>
              <w:jc w:val="right"/>
            </w:pPr>
            <w:r>
              <w:t>6,432</w:t>
            </w:r>
          </w:p>
        </w:tc>
        <w:tc>
          <w:tcPr>
            <w:tcW w:w="1418" w:type="dxa"/>
            <w:tcBorders>
              <w:top w:val="nil"/>
              <w:left w:val="nil"/>
              <w:bottom w:val="nil"/>
            </w:tcBorders>
            <w:shd w:val="clear" w:color="auto" w:fill="auto"/>
            <w:tcMar>
              <w:left w:w="57" w:type="dxa"/>
              <w:right w:w="454" w:type="dxa"/>
            </w:tcMar>
            <w:vAlign w:val="center"/>
          </w:tcPr>
          <w:p w14:paraId="533BD261" w14:textId="77777777" w:rsidR="00C01C52" w:rsidRDefault="00F60FAA" w:rsidP="00C01C52">
            <w:pPr>
              <w:jc w:val="right"/>
            </w:pPr>
            <w:r>
              <w:t>(49)</w:t>
            </w:r>
          </w:p>
        </w:tc>
      </w:tr>
      <w:tr w:rsidR="002B7C48" w14:paraId="533BD268" w14:textId="77777777" w:rsidTr="00C01C52">
        <w:trPr>
          <w:trHeight w:val="340"/>
        </w:trPr>
        <w:tc>
          <w:tcPr>
            <w:tcW w:w="3828" w:type="dxa"/>
            <w:tcBorders>
              <w:top w:val="nil"/>
              <w:bottom w:val="nil"/>
              <w:right w:val="nil"/>
            </w:tcBorders>
            <w:shd w:val="clear" w:color="auto" w:fill="auto"/>
            <w:vAlign w:val="center"/>
          </w:tcPr>
          <w:p w14:paraId="533BD263" w14:textId="77777777" w:rsidR="00C01C52" w:rsidRDefault="00F60FAA" w:rsidP="00C01C52">
            <w:pPr>
              <w:jc w:val="left"/>
            </w:pPr>
            <w:r>
              <w:t>Planning and Property</w:t>
            </w:r>
          </w:p>
        </w:tc>
        <w:tc>
          <w:tcPr>
            <w:tcW w:w="1686" w:type="dxa"/>
            <w:tcBorders>
              <w:top w:val="nil"/>
              <w:left w:val="nil"/>
              <w:bottom w:val="nil"/>
              <w:right w:val="nil"/>
            </w:tcBorders>
            <w:shd w:val="clear" w:color="auto" w:fill="auto"/>
            <w:tcMar>
              <w:left w:w="57" w:type="dxa"/>
              <w:right w:w="454" w:type="dxa"/>
            </w:tcMar>
            <w:vAlign w:val="center"/>
          </w:tcPr>
          <w:p w14:paraId="533BD264" w14:textId="77777777" w:rsidR="00C01C52" w:rsidRDefault="00F60FAA" w:rsidP="00C01C52">
            <w:pPr>
              <w:jc w:val="right"/>
            </w:pPr>
            <w:r>
              <w:t>488</w:t>
            </w:r>
          </w:p>
        </w:tc>
        <w:tc>
          <w:tcPr>
            <w:tcW w:w="1574" w:type="dxa"/>
            <w:tcBorders>
              <w:top w:val="nil"/>
              <w:left w:val="nil"/>
              <w:bottom w:val="nil"/>
              <w:right w:val="nil"/>
            </w:tcBorders>
            <w:tcMar>
              <w:left w:w="57" w:type="dxa"/>
              <w:right w:w="454" w:type="dxa"/>
            </w:tcMar>
            <w:vAlign w:val="center"/>
          </w:tcPr>
          <w:p w14:paraId="533BD265" w14:textId="77777777" w:rsidR="00C01C52" w:rsidRDefault="00F60FAA" w:rsidP="00C01C52">
            <w:pPr>
              <w:jc w:val="right"/>
            </w:pPr>
            <w:r>
              <w:t>526</w:t>
            </w:r>
          </w:p>
        </w:tc>
        <w:tc>
          <w:tcPr>
            <w:tcW w:w="1417" w:type="dxa"/>
            <w:tcBorders>
              <w:top w:val="nil"/>
              <w:left w:val="nil"/>
              <w:bottom w:val="nil"/>
              <w:right w:val="nil"/>
            </w:tcBorders>
            <w:shd w:val="clear" w:color="auto" w:fill="auto"/>
            <w:tcMar>
              <w:left w:w="57" w:type="dxa"/>
              <w:right w:w="454" w:type="dxa"/>
            </w:tcMar>
            <w:vAlign w:val="center"/>
          </w:tcPr>
          <w:p w14:paraId="533BD266" w14:textId="77777777" w:rsidR="00C01C52" w:rsidRDefault="00F60FAA" w:rsidP="00C01C52">
            <w:pPr>
              <w:jc w:val="right"/>
            </w:pPr>
            <w:r>
              <w:t>272</w:t>
            </w:r>
          </w:p>
        </w:tc>
        <w:tc>
          <w:tcPr>
            <w:tcW w:w="1418" w:type="dxa"/>
            <w:tcBorders>
              <w:top w:val="nil"/>
              <w:left w:val="nil"/>
              <w:bottom w:val="nil"/>
            </w:tcBorders>
            <w:shd w:val="clear" w:color="auto" w:fill="auto"/>
            <w:tcMar>
              <w:left w:w="57" w:type="dxa"/>
              <w:right w:w="454" w:type="dxa"/>
            </w:tcMar>
            <w:vAlign w:val="center"/>
          </w:tcPr>
          <w:p w14:paraId="533BD267" w14:textId="77777777" w:rsidR="00C01C52" w:rsidRDefault="00F60FAA" w:rsidP="00C01C52">
            <w:pPr>
              <w:jc w:val="right"/>
            </w:pPr>
            <w:r>
              <w:t>(254)</w:t>
            </w:r>
          </w:p>
        </w:tc>
      </w:tr>
      <w:tr w:rsidR="002B7C48" w14:paraId="533BD26E" w14:textId="77777777" w:rsidTr="00C01C52">
        <w:trPr>
          <w:trHeight w:val="340"/>
        </w:trPr>
        <w:tc>
          <w:tcPr>
            <w:tcW w:w="3828" w:type="dxa"/>
            <w:tcBorders>
              <w:top w:val="nil"/>
              <w:bottom w:val="nil"/>
              <w:right w:val="nil"/>
            </w:tcBorders>
            <w:shd w:val="clear" w:color="auto" w:fill="auto"/>
            <w:vAlign w:val="center"/>
          </w:tcPr>
          <w:p w14:paraId="533BD269" w14:textId="77777777" w:rsidR="00C01C52" w:rsidRDefault="00F60FAA" w:rsidP="00C01C52">
            <w:pPr>
              <w:jc w:val="left"/>
            </w:pPr>
            <w:r>
              <w:t>Finance and Assurance</w:t>
            </w:r>
          </w:p>
        </w:tc>
        <w:tc>
          <w:tcPr>
            <w:tcW w:w="1686" w:type="dxa"/>
            <w:tcBorders>
              <w:top w:val="nil"/>
              <w:left w:val="nil"/>
              <w:bottom w:val="nil"/>
              <w:right w:val="nil"/>
            </w:tcBorders>
            <w:shd w:val="clear" w:color="auto" w:fill="auto"/>
            <w:tcMar>
              <w:left w:w="57" w:type="dxa"/>
              <w:right w:w="454" w:type="dxa"/>
            </w:tcMar>
            <w:vAlign w:val="center"/>
          </w:tcPr>
          <w:p w14:paraId="533BD26A" w14:textId="77777777" w:rsidR="00C01C52" w:rsidRDefault="00F60FAA" w:rsidP="00C01C52">
            <w:pPr>
              <w:jc w:val="right"/>
            </w:pPr>
            <w:r>
              <w:t>1,405</w:t>
            </w:r>
          </w:p>
        </w:tc>
        <w:tc>
          <w:tcPr>
            <w:tcW w:w="1574" w:type="dxa"/>
            <w:tcBorders>
              <w:top w:val="nil"/>
              <w:left w:val="nil"/>
              <w:bottom w:val="nil"/>
              <w:right w:val="nil"/>
            </w:tcBorders>
            <w:tcMar>
              <w:left w:w="57" w:type="dxa"/>
              <w:right w:w="454" w:type="dxa"/>
            </w:tcMar>
            <w:vAlign w:val="center"/>
          </w:tcPr>
          <w:p w14:paraId="533BD26B" w14:textId="77777777" w:rsidR="00C01C52" w:rsidRDefault="00F60FAA" w:rsidP="00C01C52">
            <w:pPr>
              <w:jc w:val="right"/>
            </w:pPr>
            <w:r>
              <w:t>1,378</w:t>
            </w:r>
          </w:p>
        </w:tc>
        <w:tc>
          <w:tcPr>
            <w:tcW w:w="1417" w:type="dxa"/>
            <w:tcBorders>
              <w:top w:val="nil"/>
              <w:left w:val="nil"/>
              <w:bottom w:val="nil"/>
              <w:right w:val="nil"/>
            </w:tcBorders>
            <w:shd w:val="clear" w:color="auto" w:fill="auto"/>
            <w:tcMar>
              <w:left w:w="57" w:type="dxa"/>
              <w:right w:w="454" w:type="dxa"/>
            </w:tcMar>
            <w:vAlign w:val="center"/>
          </w:tcPr>
          <w:p w14:paraId="533BD26C" w14:textId="77777777" w:rsidR="00C01C52" w:rsidRDefault="00F60FAA" w:rsidP="00C01C52">
            <w:pPr>
              <w:jc w:val="right"/>
            </w:pPr>
            <w:r>
              <w:t>1,455</w:t>
            </w:r>
          </w:p>
        </w:tc>
        <w:tc>
          <w:tcPr>
            <w:tcW w:w="1418" w:type="dxa"/>
            <w:tcBorders>
              <w:top w:val="nil"/>
              <w:left w:val="nil"/>
              <w:bottom w:val="nil"/>
            </w:tcBorders>
            <w:shd w:val="clear" w:color="auto" w:fill="auto"/>
            <w:tcMar>
              <w:left w:w="57" w:type="dxa"/>
              <w:right w:w="454" w:type="dxa"/>
            </w:tcMar>
            <w:vAlign w:val="center"/>
          </w:tcPr>
          <w:p w14:paraId="533BD26D" w14:textId="77777777" w:rsidR="00C01C52" w:rsidRDefault="00F60FAA" w:rsidP="00C01C52">
            <w:pPr>
              <w:jc w:val="right"/>
            </w:pPr>
            <w:r>
              <w:t>77</w:t>
            </w:r>
          </w:p>
        </w:tc>
      </w:tr>
      <w:tr w:rsidR="002B7C48" w14:paraId="533BD274" w14:textId="77777777" w:rsidTr="00C01C52">
        <w:trPr>
          <w:trHeight w:val="340"/>
        </w:trPr>
        <w:tc>
          <w:tcPr>
            <w:tcW w:w="3828" w:type="dxa"/>
            <w:tcBorders>
              <w:top w:val="nil"/>
              <w:bottom w:val="nil"/>
              <w:right w:val="nil"/>
            </w:tcBorders>
            <w:shd w:val="clear" w:color="auto" w:fill="auto"/>
            <w:vAlign w:val="center"/>
          </w:tcPr>
          <w:p w14:paraId="533BD26F" w14:textId="77777777" w:rsidR="00C01C52" w:rsidRDefault="00F60FAA" w:rsidP="00C01C52">
            <w:pPr>
              <w:jc w:val="left"/>
            </w:pPr>
            <w:r>
              <w:t>Legal, HR &amp; Democratic Services</w:t>
            </w:r>
          </w:p>
        </w:tc>
        <w:tc>
          <w:tcPr>
            <w:tcW w:w="1686" w:type="dxa"/>
            <w:tcBorders>
              <w:top w:val="nil"/>
              <w:left w:val="nil"/>
              <w:bottom w:val="nil"/>
              <w:right w:val="nil"/>
            </w:tcBorders>
            <w:shd w:val="clear" w:color="auto" w:fill="auto"/>
            <w:tcMar>
              <w:left w:w="57" w:type="dxa"/>
              <w:right w:w="454" w:type="dxa"/>
            </w:tcMar>
            <w:vAlign w:val="center"/>
          </w:tcPr>
          <w:p w14:paraId="533BD270" w14:textId="77777777" w:rsidR="00C01C52" w:rsidRDefault="00F60FAA" w:rsidP="00C01C52">
            <w:pPr>
              <w:jc w:val="right"/>
            </w:pPr>
            <w:r>
              <w:t>1,746</w:t>
            </w:r>
          </w:p>
        </w:tc>
        <w:tc>
          <w:tcPr>
            <w:tcW w:w="1574" w:type="dxa"/>
            <w:tcBorders>
              <w:top w:val="nil"/>
              <w:left w:val="nil"/>
              <w:bottom w:val="nil"/>
              <w:right w:val="nil"/>
            </w:tcBorders>
            <w:tcMar>
              <w:left w:w="57" w:type="dxa"/>
              <w:right w:w="454" w:type="dxa"/>
            </w:tcMar>
            <w:vAlign w:val="center"/>
          </w:tcPr>
          <w:p w14:paraId="533BD271" w14:textId="77777777" w:rsidR="00C01C52" w:rsidRDefault="00F60FAA" w:rsidP="00C01C52">
            <w:pPr>
              <w:jc w:val="right"/>
            </w:pPr>
            <w:r>
              <w:t>1,741</w:t>
            </w:r>
          </w:p>
        </w:tc>
        <w:tc>
          <w:tcPr>
            <w:tcW w:w="1417" w:type="dxa"/>
            <w:tcBorders>
              <w:top w:val="nil"/>
              <w:left w:val="nil"/>
              <w:bottom w:val="nil"/>
              <w:right w:val="nil"/>
            </w:tcBorders>
            <w:shd w:val="clear" w:color="auto" w:fill="auto"/>
            <w:tcMar>
              <w:left w:w="57" w:type="dxa"/>
              <w:right w:w="454" w:type="dxa"/>
            </w:tcMar>
            <w:vAlign w:val="center"/>
          </w:tcPr>
          <w:p w14:paraId="533BD272" w14:textId="77777777" w:rsidR="00C01C52" w:rsidRDefault="00F60FAA" w:rsidP="00C01C52">
            <w:pPr>
              <w:jc w:val="right"/>
            </w:pPr>
            <w:r>
              <w:t>1,703</w:t>
            </w:r>
          </w:p>
        </w:tc>
        <w:tc>
          <w:tcPr>
            <w:tcW w:w="1418" w:type="dxa"/>
            <w:tcBorders>
              <w:top w:val="nil"/>
              <w:left w:val="nil"/>
              <w:bottom w:val="nil"/>
            </w:tcBorders>
            <w:shd w:val="clear" w:color="auto" w:fill="auto"/>
            <w:tcMar>
              <w:left w:w="57" w:type="dxa"/>
              <w:right w:w="454" w:type="dxa"/>
            </w:tcMar>
            <w:vAlign w:val="center"/>
          </w:tcPr>
          <w:p w14:paraId="533BD273" w14:textId="77777777" w:rsidR="00C01C52" w:rsidRDefault="00F60FAA" w:rsidP="00C01C52">
            <w:pPr>
              <w:jc w:val="right"/>
            </w:pPr>
            <w:r>
              <w:t>(39)</w:t>
            </w:r>
          </w:p>
        </w:tc>
      </w:tr>
      <w:tr w:rsidR="002B7C48" w14:paraId="533BD27A" w14:textId="77777777" w:rsidTr="00C01C52">
        <w:trPr>
          <w:trHeight w:val="340"/>
        </w:trPr>
        <w:tc>
          <w:tcPr>
            <w:tcW w:w="3828" w:type="dxa"/>
            <w:tcBorders>
              <w:top w:val="nil"/>
              <w:bottom w:val="nil"/>
              <w:right w:val="nil"/>
            </w:tcBorders>
            <w:shd w:val="clear" w:color="auto" w:fill="auto"/>
            <w:vAlign w:val="center"/>
          </w:tcPr>
          <w:p w14:paraId="533BD275" w14:textId="77777777" w:rsidR="00C01C52" w:rsidRDefault="00F60FAA" w:rsidP="00C01C52">
            <w:pPr>
              <w:jc w:val="left"/>
            </w:pPr>
            <w:r>
              <w:t>Customer Experience &amp; Operations</w:t>
            </w:r>
          </w:p>
        </w:tc>
        <w:tc>
          <w:tcPr>
            <w:tcW w:w="1686" w:type="dxa"/>
            <w:tcBorders>
              <w:top w:val="nil"/>
              <w:left w:val="nil"/>
              <w:bottom w:val="nil"/>
              <w:right w:val="nil"/>
            </w:tcBorders>
            <w:shd w:val="clear" w:color="auto" w:fill="auto"/>
            <w:tcMar>
              <w:left w:w="57" w:type="dxa"/>
              <w:right w:w="454" w:type="dxa"/>
            </w:tcMar>
            <w:vAlign w:val="center"/>
          </w:tcPr>
          <w:p w14:paraId="533BD276" w14:textId="77777777" w:rsidR="00C01C52" w:rsidRDefault="00F60FAA" w:rsidP="00C01C52">
            <w:pPr>
              <w:jc w:val="right"/>
            </w:pPr>
            <w:r>
              <w:t>2,098</w:t>
            </w:r>
          </w:p>
        </w:tc>
        <w:tc>
          <w:tcPr>
            <w:tcW w:w="1574" w:type="dxa"/>
            <w:tcBorders>
              <w:top w:val="nil"/>
              <w:left w:val="nil"/>
              <w:bottom w:val="nil"/>
              <w:right w:val="nil"/>
            </w:tcBorders>
            <w:tcMar>
              <w:left w:w="57" w:type="dxa"/>
              <w:right w:w="454" w:type="dxa"/>
            </w:tcMar>
            <w:vAlign w:val="center"/>
          </w:tcPr>
          <w:p w14:paraId="533BD277" w14:textId="77777777" w:rsidR="00C01C52" w:rsidRDefault="00F60FAA" w:rsidP="00C01C52">
            <w:pPr>
              <w:jc w:val="right"/>
            </w:pPr>
            <w:r>
              <w:t>2,126</w:t>
            </w:r>
          </w:p>
        </w:tc>
        <w:tc>
          <w:tcPr>
            <w:tcW w:w="1417" w:type="dxa"/>
            <w:tcBorders>
              <w:top w:val="nil"/>
              <w:left w:val="nil"/>
              <w:bottom w:val="nil"/>
              <w:right w:val="nil"/>
            </w:tcBorders>
            <w:shd w:val="clear" w:color="auto" w:fill="auto"/>
            <w:tcMar>
              <w:left w:w="57" w:type="dxa"/>
              <w:right w:w="454" w:type="dxa"/>
            </w:tcMar>
            <w:vAlign w:val="center"/>
          </w:tcPr>
          <w:p w14:paraId="533BD278" w14:textId="77777777" w:rsidR="00C01C52" w:rsidRDefault="00F60FAA" w:rsidP="00C01C52">
            <w:pPr>
              <w:jc w:val="right"/>
            </w:pPr>
            <w:r>
              <w:t>2,094</w:t>
            </w:r>
          </w:p>
        </w:tc>
        <w:tc>
          <w:tcPr>
            <w:tcW w:w="1418" w:type="dxa"/>
            <w:tcBorders>
              <w:top w:val="nil"/>
              <w:left w:val="nil"/>
              <w:bottom w:val="nil"/>
            </w:tcBorders>
            <w:shd w:val="clear" w:color="auto" w:fill="auto"/>
            <w:tcMar>
              <w:left w:w="57" w:type="dxa"/>
              <w:right w:w="454" w:type="dxa"/>
            </w:tcMar>
            <w:vAlign w:val="center"/>
          </w:tcPr>
          <w:p w14:paraId="533BD279" w14:textId="77777777" w:rsidR="00C01C52" w:rsidRDefault="00F60FAA" w:rsidP="00C01C52">
            <w:pPr>
              <w:jc w:val="right"/>
            </w:pPr>
            <w:r>
              <w:t>(32)</w:t>
            </w:r>
          </w:p>
        </w:tc>
      </w:tr>
      <w:tr w:rsidR="002B7C48" w14:paraId="533BD280" w14:textId="77777777" w:rsidTr="00C01C52">
        <w:trPr>
          <w:trHeight w:val="340"/>
        </w:trPr>
        <w:tc>
          <w:tcPr>
            <w:tcW w:w="3828" w:type="dxa"/>
            <w:tcBorders>
              <w:top w:val="nil"/>
              <w:bottom w:val="nil"/>
              <w:right w:val="nil"/>
            </w:tcBorders>
            <w:shd w:val="clear" w:color="auto" w:fill="auto"/>
            <w:vAlign w:val="center"/>
          </w:tcPr>
          <w:p w14:paraId="533BD27B" w14:textId="77777777" w:rsidR="00C01C52" w:rsidRDefault="00F60FAA" w:rsidP="00C01C52">
            <w:pPr>
              <w:jc w:val="left"/>
            </w:pPr>
            <w:r>
              <w:t>Pension Deficit Contributions</w:t>
            </w:r>
          </w:p>
        </w:tc>
        <w:tc>
          <w:tcPr>
            <w:tcW w:w="1686" w:type="dxa"/>
            <w:tcBorders>
              <w:top w:val="nil"/>
              <w:left w:val="nil"/>
              <w:bottom w:val="nil"/>
              <w:right w:val="nil"/>
            </w:tcBorders>
            <w:shd w:val="clear" w:color="auto" w:fill="auto"/>
            <w:tcMar>
              <w:left w:w="57" w:type="dxa"/>
              <w:right w:w="454" w:type="dxa"/>
            </w:tcMar>
            <w:vAlign w:val="center"/>
          </w:tcPr>
          <w:p w14:paraId="533BD27C" w14:textId="77777777" w:rsidR="00C01C52" w:rsidRDefault="00F60FAA" w:rsidP="00C01C52">
            <w:pPr>
              <w:jc w:val="right"/>
            </w:pPr>
            <w:r>
              <w:t>414</w:t>
            </w:r>
          </w:p>
        </w:tc>
        <w:tc>
          <w:tcPr>
            <w:tcW w:w="1574" w:type="dxa"/>
            <w:tcBorders>
              <w:top w:val="nil"/>
              <w:left w:val="nil"/>
              <w:bottom w:val="nil"/>
              <w:right w:val="nil"/>
            </w:tcBorders>
            <w:tcMar>
              <w:left w:w="57" w:type="dxa"/>
              <w:right w:w="454" w:type="dxa"/>
            </w:tcMar>
            <w:vAlign w:val="center"/>
          </w:tcPr>
          <w:p w14:paraId="533BD27D" w14:textId="77777777" w:rsidR="00C01C52" w:rsidRDefault="00F60FAA" w:rsidP="00C01C52">
            <w:pPr>
              <w:jc w:val="right"/>
            </w:pPr>
            <w:r>
              <w:t>414</w:t>
            </w:r>
          </w:p>
        </w:tc>
        <w:tc>
          <w:tcPr>
            <w:tcW w:w="1417" w:type="dxa"/>
            <w:tcBorders>
              <w:top w:val="nil"/>
              <w:left w:val="nil"/>
              <w:bottom w:val="nil"/>
              <w:right w:val="nil"/>
            </w:tcBorders>
            <w:shd w:val="clear" w:color="auto" w:fill="auto"/>
            <w:tcMar>
              <w:left w:w="57" w:type="dxa"/>
              <w:right w:w="454" w:type="dxa"/>
            </w:tcMar>
            <w:vAlign w:val="center"/>
          </w:tcPr>
          <w:p w14:paraId="533BD27E" w14:textId="77777777" w:rsidR="00C01C52" w:rsidRDefault="00F60FAA" w:rsidP="00C01C52">
            <w:pPr>
              <w:jc w:val="right"/>
            </w:pPr>
            <w:r>
              <w:t>521</w:t>
            </w:r>
          </w:p>
        </w:tc>
        <w:tc>
          <w:tcPr>
            <w:tcW w:w="1418" w:type="dxa"/>
            <w:tcBorders>
              <w:top w:val="nil"/>
              <w:left w:val="nil"/>
              <w:bottom w:val="nil"/>
            </w:tcBorders>
            <w:shd w:val="clear" w:color="auto" w:fill="auto"/>
            <w:tcMar>
              <w:left w:w="57" w:type="dxa"/>
              <w:right w:w="454" w:type="dxa"/>
            </w:tcMar>
            <w:vAlign w:val="center"/>
          </w:tcPr>
          <w:p w14:paraId="533BD27F" w14:textId="77777777" w:rsidR="00C01C52" w:rsidRDefault="00F60FAA" w:rsidP="00C01C52">
            <w:pPr>
              <w:jc w:val="right"/>
            </w:pPr>
            <w:r>
              <w:t>107</w:t>
            </w:r>
          </w:p>
        </w:tc>
      </w:tr>
      <w:tr w:rsidR="002B7C48" w14:paraId="533BD286" w14:textId="77777777" w:rsidTr="00C01C52">
        <w:trPr>
          <w:trHeight w:val="340"/>
        </w:trPr>
        <w:tc>
          <w:tcPr>
            <w:tcW w:w="3828" w:type="dxa"/>
            <w:tcBorders>
              <w:top w:val="nil"/>
              <w:bottom w:val="nil"/>
              <w:right w:val="nil"/>
            </w:tcBorders>
            <w:shd w:val="clear" w:color="auto" w:fill="auto"/>
            <w:vAlign w:val="center"/>
          </w:tcPr>
          <w:p w14:paraId="533BD281" w14:textId="77777777" w:rsidR="00C01C52" w:rsidRDefault="00F60FAA" w:rsidP="00C01C52">
            <w:pPr>
              <w:jc w:val="left"/>
            </w:pPr>
            <w:r>
              <w:t>Staff Turnover Savings</w:t>
            </w:r>
          </w:p>
        </w:tc>
        <w:tc>
          <w:tcPr>
            <w:tcW w:w="1686" w:type="dxa"/>
            <w:tcBorders>
              <w:top w:val="nil"/>
              <w:left w:val="nil"/>
              <w:bottom w:val="single" w:sz="4" w:space="0" w:color="auto"/>
              <w:right w:val="nil"/>
            </w:tcBorders>
            <w:shd w:val="clear" w:color="auto" w:fill="auto"/>
            <w:tcMar>
              <w:left w:w="57" w:type="dxa"/>
              <w:right w:w="454" w:type="dxa"/>
            </w:tcMar>
            <w:vAlign w:val="center"/>
          </w:tcPr>
          <w:p w14:paraId="533BD282" w14:textId="77777777" w:rsidR="00C01C52" w:rsidRDefault="00F60FAA" w:rsidP="00C01C52">
            <w:pPr>
              <w:jc w:val="right"/>
            </w:pPr>
            <w:r>
              <w:t>(150)</w:t>
            </w:r>
          </w:p>
        </w:tc>
        <w:tc>
          <w:tcPr>
            <w:tcW w:w="1574" w:type="dxa"/>
            <w:tcBorders>
              <w:top w:val="nil"/>
              <w:left w:val="nil"/>
              <w:bottom w:val="single" w:sz="4" w:space="0" w:color="auto"/>
              <w:right w:val="nil"/>
            </w:tcBorders>
            <w:tcMar>
              <w:left w:w="57" w:type="dxa"/>
              <w:right w:w="454" w:type="dxa"/>
            </w:tcMar>
            <w:vAlign w:val="center"/>
          </w:tcPr>
          <w:p w14:paraId="533BD283" w14:textId="77777777" w:rsidR="00C01C52" w:rsidRDefault="00F60FAA" w:rsidP="00C01C52">
            <w:pPr>
              <w:jc w:val="right"/>
            </w:pPr>
            <w:r>
              <w:t>0</w:t>
            </w:r>
          </w:p>
        </w:tc>
        <w:tc>
          <w:tcPr>
            <w:tcW w:w="1417" w:type="dxa"/>
            <w:tcBorders>
              <w:top w:val="nil"/>
              <w:left w:val="nil"/>
              <w:bottom w:val="single" w:sz="4" w:space="0" w:color="auto"/>
              <w:right w:val="nil"/>
            </w:tcBorders>
            <w:shd w:val="clear" w:color="auto" w:fill="auto"/>
            <w:tcMar>
              <w:left w:w="57" w:type="dxa"/>
              <w:right w:w="454" w:type="dxa"/>
            </w:tcMar>
            <w:vAlign w:val="center"/>
          </w:tcPr>
          <w:p w14:paraId="533BD284" w14:textId="77777777" w:rsidR="00C01C52" w:rsidRDefault="00F60FAA" w:rsidP="00C01C52">
            <w:pPr>
              <w:jc w:val="right"/>
            </w:pPr>
            <w:r>
              <w:t>0</w:t>
            </w:r>
          </w:p>
        </w:tc>
        <w:tc>
          <w:tcPr>
            <w:tcW w:w="1418" w:type="dxa"/>
            <w:tcBorders>
              <w:top w:val="nil"/>
              <w:left w:val="nil"/>
              <w:bottom w:val="single" w:sz="4" w:space="0" w:color="auto"/>
            </w:tcBorders>
            <w:shd w:val="clear" w:color="auto" w:fill="auto"/>
            <w:tcMar>
              <w:left w:w="57" w:type="dxa"/>
              <w:right w:w="454" w:type="dxa"/>
            </w:tcMar>
            <w:vAlign w:val="center"/>
          </w:tcPr>
          <w:p w14:paraId="533BD285" w14:textId="77777777" w:rsidR="00C01C52" w:rsidRPr="00A123C3" w:rsidRDefault="00F60FAA" w:rsidP="00C01C52">
            <w:pPr>
              <w:jc w:val="right"/>
            </w:pPr>
            <w:r>
              <w:t>0</w:t>
            </w:r>
          </w:p>
        </w:tc>
      </w:tr>
      <w:tr w:rsidR="002B7C48" w14:paraId="533BD28C" w14:textId="77777777" w:rsidTr="00C01C52">
        <w:trPr>
          <w:trHeight w:val="340"/>
        </w:trPr>
        <w:tc>
          <w:tcPr>
            <w:tcW w:w="3828" w:type="dxa"/>
            <w:tcBorders>
              <w:top w:val="nil"/>
              <w:bottom w:val="nil"/>
              <w:right w:val="nil"/>
            </w:tcBorders>
            <w:shd w:val="clear" w:color="auto" w:fill="auto"/>
            <w:vAlign w:val="center"/>
          </w:tcPr>
          <w:p w14:paraId="533BD287" w14:textId="77777777" w:rsidR="00C01C52" w:rsidRPr="009741E4" w:rsidRDefault="00F60FAA" w:rsidP="00C01C52">
            <w:pPr>
              <w:rPr>
                <w:b/>
              </w:rPr>
            </w:pPr>
            <w:r w:rsidRPr="009741E4">
              <w:rPr>
                <w:b/>
              </w:rPr>
              <w:t>Net Cost of Services</w:t>
            </w:r>
          </w:p>
        </w:tc>
        <w:tc>
          <w:tcPr>
            <w:tcW w:w="1686" w:type="dxa"/>
            <w:tcBorders>
              <w:top w:val="single" w:sz="4" w:space="0" w:color="auto"/>
              <w:left w:val="nil"/>
              <w:bottom w:val="nil"/>
              <w:right w:val="nil"/>
            </w:tcBorders>
            <w:shd w:val="clear" w:color="auto" w:fill="auto"/>
            <w:tcMar>
              <w:left w:w="57" w:type="dxa"/>
              <w:right w:w="454" w:type="dxa"/>
            </w:tcMar>
            <w:vAlign w:val="center"/>
          </w:tcPr>
          <w:p w14:paraId="533BD288" w14:textId="77777777" w:rsidR="00C01C52" w:rsidRPr="009741E4" w:rsidRDefault="00F60FAA" w:rsidP="00C01C52">
            <w:pPr>
              <w:jc w:val="right"/>
              <w:rPr>
                <w:b/>
              </w:rPr>
            </w:pPr>
            <w:r>
              <w:rPr>
                <w:b/>
              </w:rPr>
              <w:t>13,349</w:t>
            </w:r>
          </w:p>
        </w:tc>
        <w:tc>
          <w:tcPr>
            <w:tcW w:w="1574" w:type="dxa"/>
            <w:tcBorders>
              <w:top w:val="single" w:sz="4" w:space="0" w:color="auto"/>
              <w:left w:val="nil"/>
              <w:bottom w:val="nil"/>
              <w:right w:val="nil"/>
            </w:tcBorders>
            <w:tcMar>
              <w:left w:w="57" w:type="dxa"/>
              <w:right w:w="454" w:type="dxa"/>
            </w:tcMar>
            <w:vAlign w:val="center"/>
          </w:tcPr>
          <w:p w14:paraId="533BD289" w14:textId="77777777" w:rsidR="00C01C52" w:rsidRPr="00963C6D" w:rsidRDefault="00F60FAA" w:rsidP="00C01C52">
            <w:pPr>
              <w:jc w:val="right"/>
              <w:rPr>
                <w:b/>
              </w:rPr>
            </w:pPr>
            <w:r>
              <w:rPr>
                <w:b/>
              </w:rPr>
              <w:t>13,563</w:t>
            </w:r>
          </w:p>
        </w:tc>
        <w:tc>
          <w:tcPr>
            <w:tcW w:w="1417" w:type="dxa"/>
            <w:tcBorders>
              <w:top w:val="single" w:sz="4" w:space="0" w:color="auto"/>
              <w:left w:val="nil"/>
              <w:bottom w:val="nil"/>
              <w:right w:val="nil"/>
            </w:tcBorders>
            <w:shd w:val="clear" w:color="auto" w:fill="auto"/>
            <w:tcMar>
              <w:left w:w="57" w:type="dxa"/>
              <w:right w:w="454" w:type="dxa"/>
            </w:tcMar>
            <w:vAlign w:val="center"/>
          </w:tcPr>
          <w:p w14:paraId="533BD28A" w14:textId="77777777" w:rsidR="00C01C52" w:rsidRPr="00490D75" w:rsidRDefault="00F60FAA" w:rsidP="00C01C52">
            <w:pPr>
              <w:jc w:val="right"/>
              <w:rPr>
                <w:b/>
              </w:rPr>
            </w:pPr>
            <w:r w:rsidRPr="00490D75">
              <w:rPr>
                <w:b/>
              </w:rPr>
              <w:t>13,</w:t>
            </w:r>
            <w:r>
              <w:rPr>
                <w:b/>
              </w:rPr>
              <w:t>382</w:t>
            </w:r>
          </w:p>
        </w:tc>
        <w:tc>
          <w:tcPr>
            <w:tcW w:w="1418" w:type="dxa"/>
            <w:tcBorders>
              <w:top w:val="single" w:sz="4" w:space="0" w:color="auto"/>
              <w:left w:val="nil"/>
              <w:bottom w:val="nil"/>
            </w:tcBorders>
            <w:shd w:val="clear" w:color="auto" w:fill="auto"/>
            <w:tcMar>
              <w:left w:w="57" w:type="dxa"/>
              <w:right w:w="454" w:type="dxa"/>
            </w:tcMar>
            <w:vAlign w:val="center"/>
          </w:tcPr>
          <w:p w14:paraId="533BD28B" w14:textId="77777777" w:rsidR="00C01C52" w:rsidRPr="00490D75" w:rsidRDefault="00F60FAA" w:rsidP="00C01C52">
            <w:pPr>
              <w:jc w:val="right"/>
              <w:rPr>
                <w:b/>
              </w:rPr>
            </w:pPr>
            <w:r w:rsidRPr="00490D75">
              <w:rPr>
                <w:b/>
              </w:rPr>
              <w:t>(</w:t>
            </w:r>
            <w:r>
              <w:rPr>
                <w:b/>
              </w:rPr>
              <w:t>181</w:t>
            </w:r>
            <w:r w:rsidRPr="00490D75">
              <w:rPr>
                <w:b/>
              </w:rPr>
              <w:t>)</w:t>
            </w:r>
          </w:p>
        </w:tc>
      </w:tr>
      <w:tr w:rsidR="002B7C48" w14:paraId="533BD292" w14:textId="77777777" w:rsidTr="00C01C52">
        <w:trPr>
          <w:trHeight w:val="340"/>
        </w:trPr>
        <w:tc>
          <w:tcPr>
            <w:tcW w:w="3828" w:type="dxa"/>
            <w:tcBorders>
              <w:top w:val="nil"/>
              <w:bottom w:val="nil"/>
              <w:right w:val="nil"/>
            </w:tcBorders>
            <w:shd w:val="clear" w:color="auto" w:fill="auto"/>
            <w:vAlign w:val="center"/>
          </w:tcPr>
          <w:p w14:paraId="533BD28D" w14:textId="77777777" w:rsidR="00C01C52" w:rsidRDefault="00F60FAA" w:rsidP="00C01C52"/>
        </w:tc>
        <w:tc>
          <w:tcPr>
            <w:tcW w:w="1686" w:type="dxa"/>
            <w:tcBorders>
              <w:top w:val="nil"/>
              <w:left w:val="nil"/>
              <w:bottom w:val="nil"/>
              <w:right w:val="nil"/>
            </w:tcBorders>
            <w:shd w:val="clear" w:color="auto" w:fill="auto"/>
            <w:tcMar>
              <w:left w:w="57" w:type="dxa"/>
              <w:right w:w="454" w:type="dxa"/>
            </w:tcMar>
            <w:vAlign w:val="center"/>
          </w:tcPr>
          <w:p w14:paraId="533BD28E" w14:textId="77777777" w:rsidR="00C01C52" w:rsidRDefault="00F60FAA" w:rsidP="00C01C52">
            <w:pPr>
              <w:jc w:val="right"/>
            </w:pPr>
          </w:p>
        </w:tc>
        <w:tc>
          <w:tcPr>
            <w:tcW w:w="1574" w:type="dxa"/>
            <w:tcBorders>
              <w:top w:val="nil"/>
              <w:left w:val="nil"/>
              <w:bottom w:val="nil"/>
              <w:right w:val="nil"/>
            </w:tcBorders>
            <w:tcMar>
              <w:left w:w="57" w:type="dxa"/>
              <w:right w:w="454" w:type="dxa"/>
            </w:tcMar>
            <w:vAlign w:val="center"/>
          </w:tcPr>
          <w:p w14:paraId="533BD28F" w14:textId="77777777" w:rsidR="00C01C52" w:rsidRDefault="00F60FAA" w:rsidP="00C01C52">
            <w:pPr>
              <w:jc w:val="right"/>
            </w:pPr>
          </w:p>
        </w:tc>
        <w:tc>
          <w:tcPr>
            <w:tcW w:w="1417" w:type="dxa"/>
            <w:tcBorders>
              <w:top w:val="nil"/>
              <w:left w:val="nil"/>
              <w:bottom w:val="nil"/>
              <w:right w:val="nil"/>
            </w:tcBorders>
            <w:shd w:val="clear" w:color="auto" w:fill="auto"/>
            <w:tcMar>
              <w:left w:w="57" w:type="dxa"/>
              <w:right w:w="454" w:type="dxa"/>
            </w:tcMar>
            <w:vAlign w:val="center"/>
          </w:tcPr>
          <w:p w14:paraId="533BD290" w14:textId="77777777" w:rsidR="00C01C52" w:rsidRDefault="00F60FAA" w:rsidP="00C01C52">
            <w:pPr>
              <w:jc w:val="right"/>
            </w:pPr>
          </w:p>
        </w:tc>
        <w:tc>
          <w:tcPr>
            <w:tcW w:w="1418" w:type="dxa"/>
            <w:tcBorders>
              <w:top w:val="nil"/>
              <w:left w:val="nil"/>
              <w:bottom w:val="nil"/>
            </w:tcBorders>
            <w:shd w:val="clear" w:color="auto" w:fill="auto"/>
            <w:tcMar>
              <w:left w:w="57" w:type="dxa"/>
              <w:right w:w="454" w:type="dxa"/>
            </w:tcMar>
            <w:vAlign w:val="center"/>
          </w:tcPr>
          <w:p w14:paraId="533BD291" w14:textId="77777777" w:rsidR="00C01C52" w:rsidRDefault="00F60FAA" w:rsidP="00C01C52">
            <w:pPr>
              <w:jc w:val="right"/>
            </w:pPr>
          </w:p>
        </w:tc>
      </w:tr>
      <w:tr w:rsidR="002B7C48" w14:paraId="533BD298" w14:textId="77777777" w:rsidTr="00C01C52">
        <w:trPr>
          <w:trHeight w:val="340"/>
        </w:trPr>
        <w:tc>
          <w:tcPr>
            <w:tcW w:w="3828" w:type="dxa"/>
            <w:tcBorders>
              <w:top w:val="nil"/>
              <w:bottom w:val="nil"/>
              <w:right w:val="nil"/>
            </w:tcBorders>
            <w:shd w:val="clear" w:color="auto" w:fill="auto"/>
            <w:vAlign w:val="center"/>
          </w:tcPr>
          <w:p w14:paraId="533BD293" w14:textId="77777777" w:rsidR="00C01C52" w:rsidRDefault="00F60FAA" w:rsidP="00C01C52">
            <w:pPr>
              <w:jc w:val="left"/>
            </w:pPr>
            <w:r>
              <w:t>Interest payable / (receivable)</w:t>
            </w:r>
          </w:p>
        </w:tc>
        <w:tc>
          <w:tcPr>
            <w:tcW w:w="1686" w:type="dxa"/>
            <w:tcBorders>
              <w:top w:val="nil"/>
              <w:left w:val="nil"/>
              <w:bottom w:val="nil"/>
              <w:right w:val="nil"/>
            </w:tcBorders>
            <w:shd w:val="clear" w:color="auto" w:fill="auto"/>
            <w:tcMar>
              <w:left w:w="57" w:type="dxa"/>
              <w:right w:w="454" w:type="dxa"/>
            </w:tcMar>
            <w:vAlign w:val="center"/>
          </w:tcPr>
          <w:p w14:paraId="533BD294" w14:textId="77777777" w:rsidR="00C01C52" w:rsidRDefault="00F60FAA" w:rsidP="00C01C52">
            <w:pPr>
              <w:jc w:val="right"/>
            </w:pPr>
            <w:r>
              <w:t>(89)</w:t>
            </w:r>
          </w:p>
        </w:tc>
        <w:tc>
          <w:tcPr>
            <w:tcW w:w="1574" w:type="dxa"/>
            <w:tcBorders>
              <w:top w:val="nil"/>
              <w:left w:val="nil"/>
              <w:bottom w:val="nil"/>
              <w:right w:val="nil"/>
            </w:tcBorders>
            <w:tcMar>
              <w:left w:w="57" w:type="dxa"/>
              <w:right w:w="454" w:type="dxa"/>
            </w:tcMar>
            <w:vAlign w:val="center"/>
          </w:tcPr>
          <w:p w14:paraId="533BD295" w14:textId="77777777" w:rsidR="00C01C52" w:rsidRDefault="00F60FAA" w:rsidP="00C01C52">
            <w:pPr>
              <w:jc w:val="right"/>
            </w:pPr>
            <w:r>
              <w:t>(214)</w:t>
            </w:r>
          </w:p>
        </w:tc>
        <w:tc>
          <w:tcPr>
            <w:tcW w:w="1417" w:type="dxa"/>
            <w:tcBorders>
              <w:top w:val="nil"/>
              <w:left w:val="nil"/>
              <w:bottom w:val="nil"/>
              <w:right w:val="nil"/>
            </w:tcBorders>
            <w:tcMar>
              <w:left w:w="57" w:type="dxa"/>
              <w:right w:w="454" w:type="dxa"/>
            </w:tcMar>
            <w:vAlign w:val="center"/>
          </w:tcPr>
          <w:p w14:paraId="533BD296" w14:textId="77777777" w:rsidR="00C01C52" w:rsidRDefault="00F60FAA" w:rsidP="00C01C52">
            <w:pPr>
              <w:jc w:val="right"/>
            </w:pPr>
            <w:r>
              <w:t>(217)</w:t>
            </w:r>
          </w:p>
        </w:tc>
        <w:tc>
          <w:tcPr>
            <w:tcW w:w="1418" w:type="dxa"/>
            <w:tcBorders>
              <w:top w:val="nil"/>
              <w:left w:val="nil"/>
              <w:bottom w:val="nil"/>
            </w:tcBorders>
            <w:shd w:val="clear" w:color="auto" w:fill="auto"/>
            <w:tcMar>
              <w:left w:w="57" w:type="dxa"/>
              <w:right w:w="454" w:type="dxa"/>
            </w:tcMar>
            <w:vAlign w:val="center"/>
          </w:tcPr>
          <w:p w14:paraId="533BD297" w14:textId="77777777" w:rsidR="00C01C52" w:rsidRDefault="00F60FAA" w:rsidP="00C01C52">
            <w:pPr>
              <w:jc w:val="right"/>
            </w:pPr>
            <w:r>
              <w:t>(3)</w:t>
            </w:r>
          </w:p>
        </w:tc>
      </w:tr>
      <w:tr w:rsidR="002B7C48" w14:paraId="533BD29E" w14:textId="77777777" w:rsidTr="00C01C52">
        <w:trPr>
          <w:trHeight w:val="340"/>
        </w:trPr>
        <w:tc>
          <w:tcPr>
            <w:tcW w:w="3828" w:type="dxa"/>
            <w:tcBorders>
              <w:top w:val="nil"/>
              <w:bottom w:val="nil"/>
              <w:right w:val="nil"/>
            </w:tcBorders>
            <w:shd w:val="clear" w:color="auto" w:fill="auto"/>
            <w:vAlign w:val="center"/>
          </w:tcPr>
          <w:p w14:paraId="533BD299" w14:textId="77777777" w:rsidR="00C01C52" w:rsidRDefault="00F60FAA" w:rsidP="00C01C52">
            <w:pPr>
              <w:jc w:val="left"/>
            </w:pPr>
            <w:r>
              <w:t>Parish Precepts</w:t>
            </w:r>
          </w:p>
        </w:tc>
        <w:tc>
          <w:tcPr>
            <w:tcW w:w="1686" w:type="dxa"/>
            <w:tcBorders>
              <w:top w:val="nil"/>
              <w:left w:val="nil"/>
              <w:bottom w:val="nil"/>
              <w:right w:val="nil"/>
            </w:tcBorders>
            <w:shd w:val="clear" w:color="auto" w:fill="auto"/>
            <w:tcMar>
              <w:left w:w="57" w:type="dxa"/>
              <w:right w:w="454" w:type="dxa"/>
            </w:tcMar>
            <w:vAlign w:val="center"/>
          </w:tcPr>
          <w:p w14:paraId="533BD29A" w14:textId="77777777" w:rsidR="00C01C52" w:rsidRDefault="00F60FAA" w:rsidP="00C01C52">
            <w:pPr>
              <w:jc w:val="right"/>
            </w:pPr>
            <w:r>
              <w:t>397</w:t>
            </w:r>
          </w:p>
        </w:tc>
        <w:tc>
          <w:tcPr>
            <w:tcW w:w="1574" w:type="dxa"/>
            <w:tcBorders>
              <w:top w:val="nil"/>
              <w:left w:val="nil"/>
              <w:bottom w:val="nil"/>
              <w:right w:val="nil"/>
            </w:tcBorders>
            <w:tcMar>
              <w:left w:w="57" w:type="dxa"/>
              <w:right w:w="454" w:type="dxa"/>
            </w:tcMar>
            <w:vAlign w:val="center"/>
          </w:tcPr>
          <w:p w14:paraId="533BD29B" w14:textId="77777777" w:rsidR="00C01C52" w:rsidRDefault="00F60FAA" w:rsidP="00C01C52">
            <w:pPr>
              <w:jc w:val="right"/>
            </w:pPr>
            <w:r>
              <w:t>397</w:t>
            </w:r>
          </w:p>
        </w:tc>
        <w:tc>
          <w:tcPr>
            <w:tcW w:w="1417" w:type="dxa"/>
            <w:tcBorders>
              <w:top w:val="nil"/>
              <w:left w:val="nil"/>
              <w:bottom w:val="nil"/>
              <w:right w:val="nil"/>
            </w:tcBorders>
            <w:tcMar>
              <w:left w:w="57" w:type="dxa"/>
              <w:right w:w="454" w:type="dxa"/>
            </w:tcMar>
            <w:vAlign w:val="center"/>
          </w:tcPr>
          <w:p w14:paraId="533BD29C" w14:textId="77777777" w:rsidR="00C01C52" w:rsidRDefault="00F60FAA" w:rsidP="00C01C52">
            <w:pPr>
              <w:jc w:val="right"/>
            </w:pPr>
            <w:r>
              <w:t>397</w:t>
            </w:r>
          </w:p>
        </w:tc>
        <w:tc>
          <w:tcPr>
            <w:tcW w:w="1418" w:type="dxa"/>
            <w:tcBorders>
              <w:top w:val="nil"/>
              <w:left w:val="nil"/>
              <w:bottom w:val="nil"/>
            </w:tcBorders>
            <w:shd w:val="clear" w:color="auto" w:fill="auto"/>
            <w:tcMar>
              <w:left w:w="57" w:type="dxa"/>
              <w:right w:w="454" w:type="dxa"/>
            </w:tcMar>
            <w:vAlign w:val="center"/>
          </w:tcPr>
          <w:p w14:paraId="533BD29D" w14:textId="77777777" w:rsidR="00C01C52" w:rsidRDefault="00F60FAA" w:rsidP="00C01C52">
            <w:pPr>
              <w:jc w:val="right"/>
            </w:pPr>
            <w:r>
              <w:t>0</w:t>
            </w:r>
          </w:p>
        </w:tc>
      </w:tr>
      <w:tr w:rsidR="002B7C48" w14:paraId="533BD2A4" w14:textId="77777777" w:rsidTr="00C01C52">
        <w:trPr>
          <w:trHeight w:val="340"/>
        </w:trPr>
        <w:tc>
          <w:tcPr>
            <w:tcW w:w="3828" w:type="dxa"/>
            <w:tcBorders>
              <w:top w:val="nil"/>
              <w:bottom w:val="nil"/>
              <w:right w:val="nil"/>
            </w:tcBorders>
            <w:shd w:val="clear" w:color="auto" w:fill="auto"/>
            <w:vAlign w:val="center"/>
          </w:tcPr>
          <w:p w14:paraId="533BD29F" w14:textId="77777777" w:rsidR="00C01C52" w:rsidRDefault="00F60FAA" w:rsidP="00C01C52">
            <w:pPr>
              <w:jc w:val="left"/>
            </w:pPr>
            <w:r>
              <w:t xml:space="preserve">Provision for repayment of </w:t>
            </w:r>
            <w:r>
              <w:t>debt</w:t>
            </w:r>
          </w:p>
        </w:tc>
        <w:tc>
          <w:tcPr>
            <w:tcW w:w="1686" w:type="dxa"/>
            <w:tcBorders>
              <w:top w:val="nil"/>
              <w:left w:val="nil"/>
              <w:bottom w:val="single" w:sz="4" w:space="0" w:color="auto"/>
              <w:right w:val="nil"/>
            </w:tcBorders>
            <w:shd w:val="clear" w:color="auto" w:fill="auto"/>
            <w:tcMar>
              <w:left w:w="57" w:type="dxa"/>
              <w:right w:w="454" w:type="dxa"/>
            </w:tcMar>
            <w:vAlign w:val="center"/>
          </w:tcPr>
          <w:p w14:paraId="533BD2A0" w14:textId="77777777" w:rsidR="00C01C52" w:rsidRDefault="00F60FAA" w:rsidP="00C01C52">
            <w:pPr>
              <w:jc w:val="right"/>
            </w:pPr>
            <w:r>
              <w:t>835</w:t>
            </w:r>
          </w:p>
        </w:tc>
        <w:tc>
          <w:tcPr>
            <w:tcW w:w="1574" w:type="dxa"/>
            <w:tcBorders>
              <w:top w:val="nil"/>
              <w:left w:val="nil"/>
              <w:bottom w:val="single" w:sz="4" w:space="0" w:color="auto"/>
              <w:right w:val="nil"/>
            </w:tcBorders>
            <w:tcMar>
              <w:left w:w="57" w:type="dxa"/>
              <w:right w:w="454" w:type="dxa"/>
            </w:tcMar>
            <w:vAlign w:val="center"/>
          </w:tcPr>
          <w:p w14:paraId="533BD2A1" w14:textId="77777777" w:rsidR="00C01C52" w:rsidRDefault="00F60FAA" w:rsidP="00C01C52">
            <w:pPr>
              <w:jc w:val="right"/>
            </w:pPr>
            <w:r>
              <w:t>835</w:t>
            </w:r>
          </w:p>
        </w:tc>
        <w:tc>
          <w:tcPr>
            <w:tcW w:w="1417" w:type="dxa"/>
            <w:tcBorders>
              <w:top w:val="nil"/>
              <w:left w:val="nil"/>
              <w:bottom w:val="single" w:sz="4" w:space="0" w:color="auto"/>
              <w:right w:val="nil"/>
            </w:tcBorders>
            <w:tcMar>
              <w:left w:w="57" w:type="dxa"/>
              <w:right w:w="454" w:type="dxa"/>
            </w:tcMar>
            <w:vAlign w:val="center"/>
          </w:tcPr>
          <w:p w14:paraId="533BD2A2" w14:textId="77777777" w:rsidR="00C01C52" w:rsidRDefault="00F60FAA" w:rsidP="00C01C52">
            <w:pPr>
              <w:jc w:val="right"/>
            </w:pPr>
            <w:r>
              <w:t>831</w:t>
            </w:r>
          </w:p>
        </w:tc>
        <w:tc>
          <w:tcPr>
            <w:tcW w:w="1418" w:type="dxa"/>
            <w:tcBorders>
              <w:top w:val="nil"/>
              <w:left w:val="nil"/>
              <w:bottom w:val="single" w:sz="4" w:space="0" w:color="auto"/>
            </w:tcBorders>
            <w:shd w:val="clear" w:color="auto" w:fill="auto"/>
            <w:tcMar>
              <w:left w:w="57" w:type="dxa"/>
              <w:right w:w="454" w:type="dxa"/>
            </w:tcMar>
            <w:vAlign w:val="center"/>
          </w:tcPr>
          <w:p w14:paraId="533BD2A3" w14:textId="77777777" w:rsidR="00C01C52" w:rsidRDefault="00F60FAA" w:rsidP="00C01C52">
            <w:pPr>
              <w:jc w:val="right"/>
            </w:pPr>
            <w:r>
              <w:t>(4)</w:t>
            </w:r>
          </w:p>
        </w:tc>
      </w:tr>
      <w:tr w:rsidR="002B7C48" w14:paraId="533BD2AA" w14:textId="77777777" w:rsidTr="00C01C52">
        <w:trPr>
          <w:trHeight w:val="340"/>
        </w:trPr>
        <w:tc>
          <w:tcPr>
            <w:tcW w:w="3828" w:type="dxa"/>
            <w:tcBorders>
              <w:top w:val="nil"/>
              <w:bottom w:val="nil"/>
              <w:right w:val="nil"/>
            </w:tcBorders>
            <w:shd w:val="clear" w:color="auto" w:fill="auto"/>
            <w:vAlign w:val="center"/>
          </w:tcPr>
          <w:p w14:paraId="533BD2A5" w14:textId="77777777" w:rsidR="00C01C52" w:rsidRPr="009741E4" w:rsidRDefault="00F60FAA" w:rsidP="00C01C52">
            <w:pPr>
              <w:rPr>
                <w:b/>
              </w:rPr>
            </w:pPr>
            <w:r w:rsidRPr="009741E4">
              <w:rPr>
                <w:b/>
              </w:rPr>
              <w:t>Funding Requirement</w:t>
            </w:r>
          </w:p>
        </w:tc>
        <w:tc>
          <w:tcPr>
            <w:tcW w:w="1686" w:type="dxa"/>
            <w:tcBorders>
              <w:top w:val="single" w:sz="4" w:space="0" w:color="auto"/>
              <w:left w:val="nil"/>
              <w:bottom w:val="single" w:sz="4" w:space="0" w:color="auto"/>
              <w:right w:val="nil"/>
            </w:tcBorders>
            <w:shd w:val="clear" w:color="auto" w:fill="auto"/>
            <w:tcMar>
              <w:left w:w="57" w:type="dxa"/>
              <w:right w:w="454" w:type="dxa"/>
            </w:tcMar>
            <w:vAlign w:val="center"/>
          </w:tcPr>
          <w:p w14:paraId="533BD2A6" w14:textId="77777777" w:rsidR="00C01C52" w:rsidRPr="009741E4" w:rsidRDefault="00F60FAA" w:rsidP="00C01C52">
            <w:pPr>
              <w:jc w:val="right"/>
              <w:rPr>
                <w:b/>
              </w:rPr>
            </w:pPr>
            <w:r>
              <w:rPr>
                <w:b/>
              </w:rPr>
              <w:t>14,492</w:t>
            </w:r>
          </w:p>
        </w:tc>
        <w:tc>
          <w:tcPr>
            <w:tcW w:w="1574" w:type="dxa"/>
            <w:tcBorders>
              <w:top w:val="single" w:sz="4" w:space="0" w:color="auto"/>
              <w:left w:val="nil"/>
              <w:bottom w:val="single" w:sz="4" w:space="0" w:color="auto"/>
              <w:right w:val="nil"/>
            </w:tcBorders>
            <w:tcMar>
              <w:left w:w="57" w:type="dxa"/>
              <w:right w:w="454" w:type="dxa"/>
            </w:tcMar>
            <w:vAlign w:val="center"/>
          </w:tcPr>
          <w:p w14:paraId="533BD2A7" w14:textId="77777777" w:rsidR="00C01C52" w:rsidRPr="00C374FB" w:rsidRDefault="00F60FAA" w:rsidP="00C01C52">
            <w:pPr>
              <w:jc w:val="right"/>
              <w:rPr>
                <w:b/>
              </w:rPr>
            </w:pPr>
            <w:r>
              <w:rPr>
                <w:b/>
              </w:rPr>
              <w:t>14,581</w:t>
            </w:r>
          </w:p>
        </w:tc>
        <w:tc>
          <w:tcPr>
            <w:tcW w:w="1417" w:type="dxa"/>
            <w:tcBorders>
              <w:top w:val="single" w:sz="4" w:space="0" w:color="auto"/>
              <w:left w:val="nil"/>
              <w:bottom w:val="single" w:sz="4" w:space="0" w:color="auto"/>
              <w:right w:val="nil"/>
            </w:tcBorders>
            <w:shd w:val="clear" w:color="auto" w:fill="auto"/>
            <w:tcMar>
              <w:left w:w="57" w:type="dxa"/>
              <w:right w:w="454" w:type="dxa"/>
            </w:tcMar>
            <w:vAlign w:val="center"/>
          </w:tcPr>
          <w:p w14:paraId="533BD2A8" w14:textId="77777777" w:rsidR="00C01C52" w:rsidRPr="007D4D1E" w:rsidRDefault="00F60FAA" w:rsidP="00C01C52">
            <w:pPr>
              <w:jc w:val="right"/>
              <w:rPr>
                <w:b/>
              </w:rPr>
            </w:pPr>
            <w:r w:rsidRPr="007D4D1E">
              <w:rPr>
                <w:b/>
              </w:rPr>
              <w:t>14,</w:t>
            </w:r>
            <w:r>
              <w:rPr>
                <w:b/>
              </w:rPr>
              <w:t>393</w:t>
            </w:r>
          </w:p>
        </w:tc>
        <w:tc>
          <w:tcPr>
            <w:tcW w:w="1418" w:type="dxa"/>
            <w:tcBorders>
              <w:top w:val="single" w:sz="4" w:space="0" w:color="auto"/>
              <w:left w:val="nil"/>
              <w:bottom w:val="single" w:sz="4" w:space="0" w:color="auto"/>
            </w:tcBorders>
            <w:shd w:val="clear" w:color="auto" w:fill="auto"/>
            <w:tcMar>
              <w:left w:w="57" w:type="dxa"/>
              <w:right w:w="454" w:type="dxa"/>
            </w:tcMar>
            <w:vAlign w:val="center"/>
          </w:tcPr>
          <w:p w14:paraId="533BD2A9" w14:textId="77777777" w:rsidR="00C01C52" w:rsidRPr="007D4D1E" w:rsidRDefault="00F60FAA" w:rsidP="00C01C52">
            <w:pPr>
              <w:jc w:val="right"/>
              <w:rPr>
                <w:b/>
              </w:rPr>
            </w:pPr>
            <w:r w:rsidRPr="007D4D1E">
              <w:rPr>
                <w:b/>
              </w:rPr>
              <w:t>(1</w:t>
            </w:r>
            <w:r>
              <w:rPr>
                <w:b/>
              </w:rPr>
              <w:t>88</w:t>
            </w:r>
            <w:r w:rsidRPr="007D4D1E">
              <w:rPr>
                <w:b/>
              </w:rPr>
              <w:t>)</w:t>
            </w:r>
          </w:p>
        </w:tc>
      </w:tr>
      <w:tr w:rsidR="002B7C48" w14:paraId="533BD2B0" w14:textId="77777777" w:rsidTr="00C01C52">
        <w:trPr>
          <w:trHeight w:val="340"/>
        </w:trPr>
        <w:tc>
          <w:tcPr>
            <w:tcW w:w="3828" w:type="dxa"/>
            <w:tcBorders>
              <w:top w:val="nil"/>
              <w:bottom w:val="nil"/>
              <w:right w:val="nil"/>
            </w:tcBorders>
            <w:shd w:val="clear" w:color="auto" w:fill="auto"/>
            <w:vAlign w:val="center"/>
          </w:tcPr>
          <w:p w14:paraId="533BD2AB" w14:textId="77777777" w:rsidR="00C01C52" w:rsidRPr="009741E4" w:rsidRDefault="00F60FAA" w:rsidP="00C01C52">
            <w:pPr>
              <w:rPr>
                <w:b/>
              </w:rPr>
            </w:pPr>
          </w:p>
        </w:tc>
        <w:tc>
          <w:tcPr>
            <w:tcW w:w="1686" w:type="dxa"/>
            <w:tcBorders>
              <w:top w:val="single" w:sz="4" w:space="0" w:color="auto"/>
              <w:left w:val="nil"/>
              <w:bottom w:val="nil"/>
              <w:right w:val="nil"/>
            </w:tcBorders>
            <w:shd w:val="clear" w:color="auto" w:fill="auto"/>
            <w:tcMar>
              <w:left w:w="57" w:type="dxa"/>
              <w:right w:w="454" w:type="dxa"/>
            </w:tcMar>
            <w:vAlign w:val="center"/>
          </w:tcPr>
          <w:p w14:paraId="533BD2AC" w14:textId="77777777" w:rsidR="00C01C52" w:rsidRPr="009741E4" w:rsidRDefault="00F60FAA" w:rsidP="00C01C52">
            <w:pPr>
              <w:jc w:val="right"/>
              <w:rPr>
                <w:b/>
              </w:rPr>
            </w:pPr>
          </w:p>
        </w:tc>
        <w:tc>
          <w:tcPr>
            <w:tcW w:w="1574" w:type="dxa"/>
            <w:tcBorders>
              <w:top w:val="single" w:sz="4" w:space="0" w:color="auto"/>
              <w:left w:val="nil"/>
              <w:bottom w:val="nil"/>
              <w:right w:val="nil"/>
            </w:tcBorders>
            <w:tcMar>
              <w:left w:w="57" w:type="dxa"/>
              <w:right w:w="454" w:type="dxa"/>
            </w:tcMar>
            <w:vAlign w:val="center"/>
          </w:tcPr>
          <w:p w14:paraId="533BD2AD" w14:textId="77777777" w:rsidR="00C01C52" w:rsidRPr="00C374FB" w:rsidRDefault="00F60FAA" w:rsidP="00C01C52">
            <w:pPr>
              <w:jc w:val="right"/>
              <w:rPr>
                <w:b/>
              </w:rPr>
            </w:pPr>
          </w:p>
        </w:tc>
        <w:tc>
          <w:tcPr>
            <w:tcW w:w="1417" w:type="dxa"/>
            <w:tcBorders>
              <w:top w:val="single" w:sz="4" w:space="0" w:color="auto"/>
              <w:left w:val="nil"/>
              <w:bottom w:val="nil"/>
              <w:right w:val="nil"/>
            </w:tcBorders>
            <w:shd w:val="clear" w:color="auto" w:fill="auto"/>
            <w:tcMar>
              <w:left w:w="57" w:type="dxa"/>
              <w:right w:w="454" w:type="dxa"/>
            </w:tcMar>
            <w:vAlign w:val="center"/>
          </w:tcPr>
          <w:p w14:paraId="533BD2AE" w14:textId="77777777" w:rsidR="00C01C52" w:rsidRPr="00C374FB" w:rsidRDefault="00F60FAA" w:rsidP="00C01C52">
            <w:pPr>
              <w:jc w:val="right"/>
              <w:rPr>
                <w:b/>
              </w:rPr>
            </w:pPr>
          </w:p>
        </w:tc>
        <w:tc>
          <w:tcPr>
            <w:tcW w:w="1418" w:type="dxa"/>
            <w:tcBorders>
              <w:top w:val="single" w:sz="4" w:space="0" w:color="auto"/>
              <w:left w:val="nil"/>
              <w:bottom w:val="nil"/>
            </w:tcBorders>
            <w:shd w:val="clear" w:color="auto" w:fill="auto"/>
            <w:tcMar>
              <w:left w:w="57" w:type="dxa"/>
              <w:right w:w="454" w:type="dxa"/>
            </w:tcMar>
            <w:vAlign w:val="center"/>
          </w:tcPr>
          <w:p w14:paraId="533BD2AF" w14:textId="77777777" w:rsidR="00C01C52" w:rsidRDefault="00F60FAA" w:rsidP="00C01C52">
            <w:pPr>
              <w:jc w:val="right"/>
              <w:rPr>
                <w:b/>
              </w:rPr>
            </w:pPr>
          </w:p>
        </w:tc>
      </w:tr>
      <w:tr w:rsidR="002B7C48" w14:paraId="533BD2B6" w14:textId="77777777" w:rsidTr="00C01C52">
        <w:trPr>
          <w:trHeight w:val="340"/>
        </w:trPr>
        <w:tc>
          <w:tcPr>
            <w:tcW w:w="3828" w:type="dxa"/>
            <w:tcBorders>
              <w:top w:val="nil"/>
              <w:bottom w:val="nil"/>
              <w:right w:val="nil"/>
            </w:tcBorders>
            <w:shd w:val="clear" w:color="auto" w:fill="auto"/>
            <w:vAlign w:val="center"/>
          </w:tcPr>
          <w:p w14:paraId="533BD2B1" w14:textId="77777777" w:rsidR="00C01C52" w:rsidRPr="00A747C0" w:rsidRDefault="00F60FAA" w:rsidP="00C01C52">
            <w:pPr>
              <w:rPr>
                <w:u w:val="single"/>
              </w:rPr>
            </w:pPr>
            <w:r w:rsidRPr="00A747C0">
              <w:rPr>
                <w:u w:val="single"/>
              </w:rPr>
              <w:t>Funding:</w:t>
            </w:r>
          </w:p>
        </w:tc>
        <w:tc>
          <w:tcPr>
            <w:tcW w:w="1686" w:type="dxa"/>
            <w:tcBorders>
              <w:top w:val="nil"/>
              <w:left w:val="nil"/>
              <w:bottom w:val="nil"/>
              <w:right w:val="nil"/>
            </w:tcBorders>
            <w:shd w:val="clear" w:color="auto" w:fill="auto"/>
            <w:tcMar>
              <w:left w:w="57" w:type="dxa"/>
              <w:right w:w="454" w:type="dxa"/>
            </w:tcMar>
            <w:vAlign w:val="center"/>
          </w:tcPr>
          <w:p w14:paraId="533BD2B2" w14:textId="77777777" w:rsidR="00C01C52" w:rsidRDefault="00F60FAA" w:rsidP="00C01C52">
            <w:pPr>
              <w:jc w:val="right"/>
            </w:pPr>
          </w:p>
        </w:tc>
        <w:tc>
          <w:tcPr>
            <w:tcW w:w="1574" w:type="dxa"/>
            <w:tcBorders>
              <w:top w:val="nil"/>
              <w:left w:val="nil"/>
              <w:bottom w:val="nil"/>
              <w:right w:val="nil"/>
            </w:tcBorders>
            <w:tcMar>
              <w:left w:w="57" w:type="dxa"/>
              <w:right w:w="454" w:type="dxa"/>
            </w:tcMar>
            <w:vAlign w:val="center"/>
          </w:tcPr>
          <w:p w14:paraId="533BD2B3" w14:textId="77777777" w:rsidR="00C01C52" w:rsidRDefault="00F60FAA" w:rsidP="00C01C52">
            <w:pPr>
              <w:jc w:val="right"/>
            </w:pPr>
          </w:p>
        </w:tc>
        <w:tc>
          <w:tcPr>
            <w:tcW w:w="1417" w:type="dxa"/>
            <w:tcBorders>
              <w:top w:val="nil"/>
              <w:left w:val="nil"/>
              <w:bottom w:val="nil"/>
              <w:right w:val="nil"/>
            </w:tcBorders>
            <w:shd w:val="clear" w:color="auto" w:fill="auto"/>
            <w:tcMar>
              <w:left w:w="57" w:type="dxa"/>
              <w:right w:w="454" w:type="dxa"/>
            </w:tcMar>
            <w:vAlign w:val="center"/>
          </w:tcPr>
          <w:p w14:paraId="533BD2B4" w14:textId="77777777" w:rsidR="00C01C52" w:rsidRDefault="00F60FAA" w:rsidP="00C01C52">
            <w:pPr>
              <w:jc w:val="right"/>
            </w:pPr>
          </w:p>
        </w:tc>
        <w:tc>
          <w:tcPr>
            <w:tcW w:w="1418" w:type="dxa"/>
            <w:tcBorders>
              <w:top w:val="nil"/>
              <w:left w:val="nil"/>
              <w:bottom w:val="nil"/>
            </w:tcBorders>
            <w:shd w:val="clear" w:color="auto" w:fill="auto"/>
            <w:tcMar>
              <w:left w:w="57" w:type="dxa"/>
              <w:right w:w="454" w:type="dxa"/>
            </w:tcMar>
            <w:vAlign w:val="center"/>
          </w:tcPr>
          <w:p w14:paraId="533BD2B5" w14:textId="77777777" w:rsidR="00C01C52" w:rsidRDefault="00F60FAA" w:rsidP="00C01C52">
            <w:pPr>
              <w:jc w:val="right"/>
            </w:pPr>
          </w:p>
        </w:tc>
      </w:tr>
      <w:tr w:rsidR="002B7C48" w14:paraId="533BD2BC" w14:textId="77777777" w:rsidTr="00C01C52">
        <w:trPr>
          <w:trHeight w:val="340"/>
        </w:trPr>
        <w:tc>
          <w:tcPr>
            <w:tcW w:w="3828" w:type="dxa"/>
            <w:tcBorders>
              <w:top w:val="nil"/>
              <w:bottom w:val="nil"/>
              <w:right w:val="nil"/>
            </w:tcBorders>
            <w:shd w:val="clear" w:color="auto" w:fill="auto"/>
            <w:vAlign w:val="center"/>
          </w:tcPr>
          <w:p w14:paraId="533BD2B7" w14:textId="77777777" w:rsidR="00C01C52" w:rsidRDefault="00F60FAA" w:rsidP="00C01C52">
            <w:pPr>
              <w:jc w:val="left"/>
            </w:pPr>
            <w:r>
              <w:t xml:space="preserve">  New Homes Bonus – City Deal</w:t>
            </w:r>
          </w:p>
        </w:tc>
        <w:tc>
          <w:tcPr>
            <w:tcW w:w="1686" w:type="dxa"/>
            <w:tcBorders>
              <w:top w:val="nil"/>
              <w:left w:val="nil"/>
              <w:bottom w:val="nil"/>
              <w:right w:val="nil"/>
            </w:tcBorders>
            <w:shd w:val="clear" w:color="auto" w:fill="auto"/>
            <w:tcMar>
              <w:left w:w="57" w:type="dxa"/>
              <w:right w:w="454" w:type="dxa"/>
            </w:tcMar>
            <w:vAlign w:val="center"/>
          </w:tcPr>
          <w:p w14:paraId="533BD2B8" w14:textId="77777777" w:rsidR="00C01C52" w:rsidRDefault="00F60FAA" w:rsidP="00C01C52">
            <w:pPr>
              <w:jc w:val="right"/>
            </w:pPr>
            <w:r>
              <w:t>(879)</w:t>
            </w:r>
          </w:p>
        </w:tc>
        <w:tc>
          <w:tcPr>
            <w:tcW w:w="1574" w:type="dxa"/>
            <w:tcBorders>
              <w:top w:val="nil"/>
              <w:left w:val="nil"/>
              <w:bottom w:val="nil"/>
              <w:right w:val="nil"/>
            </w:tcBorders>
            <w:shd w:val="clear" w:color="auto" w:fill="auto"/>
            <w:tcMar>
              <w:left w:w="57" w:type="dxa"/>
              <w:right w:w="454" w:type="dxa"/>
            </w:tcMar>
            <w:vAlign w:val="center"/>
          </w:tcPr>
          <w:p w14:paraId="533BD2B9" w14:textId="77777777" w:rsidR="00C01C52" w:rsidRDefault="00F60FAA" w:rsidP="00C01C52">
            <w:pPr>
              <w:jc w:val="right"/>
            </w:pPr>
            <w:r>
              <w:t>(879)</w:t>
            </w:r>
          </w:p>
        </w:tc>
        <w:tc>
          <w:tcPr>
            <w:tcW w:w="1417" w:type="dxa"/>
            <w:tcBorders>
              <w:top w:val="nil"/>
              <w:left w:val="nil"/>
              <w:bottom w:val="nil"/>
              <w:right w:val="nil"/>
            </w:tcBorders>
            <w:shd w:val="clear" w:color="auto" w:fill="auto"/>
            <w:tcMar>
              <w:left w:w="57" w:type="dxa"/>
              <w:right w:w="454" w:type="dxa"/>
            </w:tcMar>
            <w:vAlign w:val="center"/>
          </w:tcPr>
          <w:p w14:paraId="533BD2BA" w14:textId="77777777" w:rsidR="00C01C52" w:rsidRDefault="00F60FAA" w:rsidP="00C01C52">
            <w:pPr>
              <w:jc w:val="right"/>
            </w:pPr>
            <w:r>
              <w:t>(879)</w:t>
            </w:r>
          </w:p>
        </w:tc>
        <w:tc>
          <w:tcPr>
            <w:tcW w:w="1418" w:type="dxa"/>
            <w:tcBorders>
              <w:top w:val="nil"/>
              <w:left w:val="nil"/>
              <w:bottom w:val="nil"/>
            </w:tcBorders>
            <w:shd w:val="clear" w:color="auto" w:fill="auto"/>
            <w:tcMar>
              <w:left w:w="57" w:type="dxa"/>
              <w:right w:w="454" w:type="dxa"/>
            </w:tcMar>
            <w:vAlign w:val="center"/>
          </w:tcPr>
          <w:p w14:paraId="533BD2BB" w14:textId="77777777" w:rsidR="00C01C52" w:rsidRDefault="00F60FAA" w:rsidP="00C01C52">
            <w:pPr>
              <w:jc w:val="right"/>
            </w:pPr>
            <w:r>
              <w:t>0</w:t>
            </w:r>
          </w:p>
        </w:tc>
      </w:tr>
      <w:tr w:rsidR="002B7C48" w14:paraId="533BD2C2" w14:textId="77777777" w:rsidTr="00C01C52">
        <w:trPr>
          <w:trHeight w:val="340"/>
        </w:trPr>
        <w:tc>
          <w:tcPr>
            <w:tcW w:w="3828" w:type="dxa"/>
            <w:tcBorders>
              <w:top w:val="nil"/>
              <w:bottom w:val="nil"/>
              <w:right w:val="nil"/>
            </w:tcBorders>
            <w:shd w:val="clear" w:color="auto" w:fill="auto"/>
            <w:vAlign w:val="center"/>
          </w:tcPr>
          <w:p w14:paraId="533BD2BD" w14:textId="77777777" w:rsidR="00C01C52" w:rsidRDefault="00F60FAA" w:rsidP="00C01C52">
            <w:pPr>
              <w:jc w:val="left"/>
            </w:pPr>
            <w:r>
              <w:t xml:space="preserve">  New Homes Bonus – SRBC</w:t>
            </w:r>
          </w:p>
        </w:tc>
        <w:tc>
          <w:tcPr>
            <w:tcW w:w="1686" w:type="dxa"/>
            <w:tcBorders>
              <w:top w:val="nil"/>
              <w:left w:val="nil"/>
              <w:bottom w:val="nil"/>
              <w:right w:val="nil"/>
            </w:tcBorders>
            <w:shd w:val="clear" w:color="auto" w:fill="auto"/>
            <w:tcMar>
              <w:left w:w="57" w:type="dxa"/>
              <w:right w:w="454" w:type="dxa"/>
            </w:tcMar>
            <w:vAlign w:val="center"/>
          </w:tcPr>
          <w:p w14:paraId="533BD2BE" w14:textId="77777777" w:rsidR="00C01C52" w:rsidRDefault="00F60FAA" w:rsidP="00C01C52">
            <w:pPr>
              <w:jc w:val="right"/>
            </w:pPr>
            <w:r>
              <w:t>(135)</w:t>
            </w:r>
          </w:p>
        </w:tc>
        <w:tc>
          <w:tcPr>
            <w:tcW w:w="1574" w:type="dxa"/>
            <w:tcBorders>
              <w:top w:val="nil"/>
              <w:left w:val="nil"/>
              <w:bottom w:val="nil"/>
              <w:right w:val="nil"/>
            </w:tcBorders>
            <w:shd w:val="clear" w:color="auto" w:fill="auto"/>
            <w:tcMar>
              <w:left w:w="57" w:type="dxa"/>
              <w:right w:w="454" w:type="dxa"/>
            </w:tcMar>
            <w:vAlign w:val="center"/>
          </w:tcPr>
          <w:p w14:paraId="533BD2BF" w14:textId="77777777" w:rsidR="00C01C52" w:rsidRDefault="00F60FAA" w:rsidP="00C01C52">
            <w:pPr>
              <w:jc w:val="right"/>
            </w:pPr>
            <w:r>
              <w:t>(135)</w:t>
            </w:r>
          </w:p>
        </w:tc>
        <w:tc>
          <w:tcPr>
            <w:tcW w:w="1417" w:type="dxa"/>
            <w:tcBorders>
              <w:top w:val="nil"/>
              <w:left w:val="nil"/>
              <w:bottom w:val="nil"/>
              <w:right w:val="nil"/>
            </w:tcBorders>
            <w:shd w:val="clear" w:color="auto" w:fill="auto"/>
            <w:tcMar>
              <w:left w:w="57" w:type="dxa"/>
              <w:right w:w="454" w:type="dxa"/>
            </w:tcMar>
            <w:vAlign w:val="center"/>
          </w:tcPr>
          <w:p w14:paraId="533BD2C0" w14:textId="77777777" w:rsidR="00C01C52" w:rsidRDefault="00F60FAA" w:rsidP="00C01C52">
            <w:pPr>
              <w:jc w:val="right"/>
            </w:pPr>
            <w:r>
              <w:t>(135)</w:t>
            </w:r>
          </w:p>
        </w:tc>
        <w:tc>
          <w:tcPr>
            <w:tcW w:w="1418" w:type="dxa"/>
            <w:tcBorders>
              <w:top w:val="nil"/>
              <w:left w:val="nil"/>
              <w:bottom w:val="nil"/>
            </w:tcBorders>
            <w:shd w:val="clear" w:color="auto" w:fill="auto"/>
            <w:tcMar>
              <w:left w:w="57" w:type="dxa"/>
              <w:right w:w="454" w:type="dxa"/>
            </w:tcMar>
            <w:vAlign w:val="center"/>
          </w:tcPr>
          <w:p w14:paraId="533BD2C1" w14:textId="77777777" w:rsidR="00C01C52" w:rsidRDefault="00F60FAA" w:rsidP="00C01C52">
            <w:pPr>
              <w:jc w:val="right"/>
            </w:pPr>
            <w:r>
              <w:t>0</w:t>
            </w:r>
          </w:p>
        </w:tc>
      </w:tr>
      <w:tr w:rsidR="002B7C48" w14:paraId="533BD2C8" w14:textId="77777777" w:rsidTr="00C01C52">
        <w:trPr>
          <w:trHeight w:val="340"/>
        </w:trPr>
        <w:tc>
          <w:tcPr>
            <w:tcW w:w="3828" w:type="dxa"/>
            <w:tcBorders>
              <w:top w:val="nil"/>
              <w:bottom w:val="nil"/>
              <w:right w:val="nil"/>
            </w:tcBorders>
            <w:shd w:val="clear" w:color="auto" w:fill="auto"/>
            <w:vAlign w:val="center"/>
          </w:tcPr>
          <w:p w14:paraId="533BD2C3" w14:textId="77777777" w:rsidR="00C01C52" w:rsidRDefault="00F60FAA" w:rsidP="00C01C52">
            <w:pPr>
              <w:jc w:val="left"/>
            </w:pPr>
            <w:r>
              <w:t xml:space="preserve">  Retained Business Rates</w:t>
            </w:r>
          </w:p>
        </w:tc>
        <w:tc>
          <w:tcPr>
            <w:tcW w:w="1686" w:type="dxa"/>
            <w:tcBorders>
              <w:top w:val="nil"/>
              <w:left w:val="nil"/>
              <w:bottom w:val="nil"/>
              <w:right w:val="nil"/>
            </w:tcBorders>
            <w:shd w:val="clear" w:color="auto" w:fill="auto"/>
            <w:tcMar>
              <w:left w:w="57" w:type="dxa"/>
              <w:right w:w="454" w:type="dxa"/>
            </w:tcMar>
            <w:vAlign w:val="center"/>
          </w:tcPr>
          <w:p w14:paraId="533BD2C4" w14:textId="77777777" w:rsidR="00C01C52" w:rsidRDefault="00F60FAA" w:rsidP="00C01C52">
            <w:pPr>
              <w:jc w:val="right"/>
            </w:pPr>
            <w:r>
              <w:t>(3,950)</w:t>
            </w:r>
          </w:p>
        </w:tc>
        <w:tc>
          <w:tcPr>
            <w:tcW w:w="1574" w:type="dxa"/>
            <w:tcBorders>
              <w:top w:val="nil"/>
              <w:left w:val="nil"/>
              <w:bottom w:val="nil"/>
              <w:right w:val="nil"/>
            </w:tcBorders>
            <w:shd w:val="clear" w:color="auto" w:fill="auto"/>
            <w:tcMar>
              <w:left w:w="57" w:type="dxa"/>
              <w:right w:w="454" w:type="dxa"/>
            </w:tcMar>
            <w:vAlign w:val="center"/>
          </w:tcPr>
          <w:p w14:paraId="533BD2C5" w14:textId="77777777" w:rsidR="00C01C52" w:rsidRDefault="00F60FAA" w:rsidP="00C01C52">
            <w:pPr>
              <w:jc w:val="right"/>
            </w:pPr>
            <w:r>
              <w:t>(3,950)</w:t>
            </w:r>
          </w:p>
        </w:tc>
        <w:tc>
          <w:tcPr>
            <w:tcW w:w="1417" w:type="dxa"/>
            <w:tcBorders>
              <w:top w:val="nil"/>
              <w:left w:val="nil"/>
              <w:bottom w:val="nil"/>
              <w:right w:val="nil"/>
            </w:tcBorders>
            <w:shd w:val="clear" w:color="auto" w:fill="auto"/>
            <w:tcMar>
              <w:left w:w="57" w:type="dxa"/>
              <w:right w:w="454" w:type="dxa"/>
            </w:tcMar>
            <w:vAlign w:val="center"/>
          </w:tcPr>
          <w:p w14:paraId="533BD2C6" w14:textId="77777777" w:rsidR="00C01C52" w:rsidRDefault="00F60FAA" w:rsidP="00C01C52">
            <w:pPr>
              <w:jc w:val="right"/>
            </w:pPr>
            <w:r>
              <w:t>(3,939)</w:t>
            </w:r>
          </w:p>
        </w:tc>
        <w:tc>
          <w:tcPr>
            <w:tcW w:w="1418" w:type="dxa"/>
            <w:tcBorders>
              <w:top w:val="nil"/>
              <w:left w:val="nil"/>
              <w:bottom w:val="nil"/>
            </w:tcBorders>
            <w:shd w:val="clear" w:color="auto" w:fill="auto"/>
            <w:tcMar>
              <w:left w:w="57" w:type="dxa"/>
              <w:right w:w="454" w:type="dxa"/>
            </w:tcMar>
            <w:vAlign w:val="center"/>
          </w:tcPr>
          <w:p w14:paraId="533BD2C7" w14:textId="77777777" w:rsidR="00C01C52" w:rsidRDefault="00F60FAA" w:rsidP="00C01C52">
            <w:pPr>
              <w:jc w:val="right"/>
            </w:pPr>
            <w:r>
              <w:t>11</w:t>
            </w:r>
          </w:p>
        </w:tc>
      </w:tr>
      <w:tr w:rsidR="002B7C48" w14:paraId="533BD2CE" w14:textId="77777777" w:rsidTr="00C01C52">
        <w:trPr>
          <w:trHeight w:val="340"/>
        </w:trPr>
        <w:tc>
          <w:tcPr>
            <w:tcW w:w="3828" w:type="dxa"/>
            <w:tcBorders>
              <w:top w:val="nil"/>
              <w:bottom w:val="nil"/>
              <w:right w:val="nil"/>
            </w:tcBorders>
            <w:shd w:val="clear" w:color="auto" w:fill="auto"/>
            <w:vAlign w:val="center"/>
          </w:tcPr>
          <w:p w14:paraId="533BD2C9" w14:textId="77777777" w:rsidR="00C01C52" w:rsidRDefault="00F60FAA" w:rsidP="00C01C52">
            <w:pPr>
              <w:jc w:val="left"/>
            </w:pPr>
            <w:r>
              <w:t xml:space="preserve">  Business Rates Section 31 grant</w:t>
            </w:r>
          </w:p>
        </w:tc>
        <w:tc>
          <w:tcPr>
            <w:tcW w:w="1686" w:type="dxa"/>
            <w:tcBorders>
              <w:top w:val="nil"/>
              <w:left w:val="nil"/>
              <w:bottom w:val="nil"/>
              <w:right w:val="nil"/>
            </w:tcBorders>
            <w:shd w:val="clear" w:color="auto" w:fill="auto"/>
            <w:tcMar>
              <w:left w:w="57" w:type="dxa"/>
              <w:right w:w="454" w:type="dxa"/>
            </w:tcMar>
            <w:vAlign w:val="center"/>
          </w:tcPr>
          <w:p w14:paraId="533BD2CA" w14:textId="77777777" w:rsidR="00C01C52" w:rsidRDefault="00F60FAA" w:rsidP="00C01C52">
            <w:pPr>
              <w:jc w:val="right"/>
            </w:pPr>
            <w:r>
              <w:t>(1,750)</w:t>
            </w:r>
          </w:p>
        </w:tc>
        <w:tc>
          <w:tcPr>
            <w:tcW w:w="1574" w:type="dxa"/>
            <w:tcBorders>
              <w:top w:val="nil"/>
              <w:left w:val="nil"/>
              <w:bottom w:val="nil"/>
              <w:right w:val="nil"/>
            </w:tcBorders>
            <w:shd w:val="clear" w:color="auto" w:fill="auto"/>
            <w:tcMar>
              <w:left w:w="57" w:type="dxa"/>
              <w:right w:w="454" w:type="dxa"/>
            </w:tcMar>
            <w:vAlign w:val="center"/>
          </w:tcPr>
          <w:p w14:paraId="533BD2CB" w14:textId="77777777" w:rsidR="00C01C52" w:rsidRDefault="00F60FAA" w:rsidP="00C01C52">
            <w:pPr>
              <w:jc w:val="right"/>
            </w:pPr>
            <w:r>
              <w:t>(1,750)</w:t>
            </w:r>
          </w:p>
        </w:tc>
        <w:tc>
          <w:tcPr>
            <w:tcW w:w="1417" w:type="dxa"/>
            <w:tcBorders>
              <w:top w:val="nil"/>
              <w:left w:val="nil"/>
              <w:bottom w:val="nil"/>
              <w:right w:val="nil"/>
            </w:tcBorders>
            <w:shd w:val="clear" w:color="auto" w:fill="auto"/>
            <w:tcMar>
              <w:left w:w="57" w:type="dxa"/>
              <w:right w:w="454" w:type="dxa"/>
            </w:tcMar>
            <w:vAlign w:val="center"/>
          </w:tcPr>
          <w:p w14:paraId="533BD2CC" w14:textId="77777777" w:rsidR="00C01C52" w:rsidRDefault="00F60FAA" w:rsidP="00C01C52">
            <w:pPr>
              <w:jc w:val="right"/>
            </w:pPr>
            <w:r>
              <w:t>(2,041)</w:t>
            </w:r>
          </w:p>
        </w:tc>
        <w:tc>
          <w:tcPr>
            <w:tcW w:w="1418" w:type="dxa"/>
            <w:tcBorders>
              <w:top w:val="nil"/>
              <w:left w:val="nil"/>
              <w:bottom w:val="nil"/>
            </w:tcBorders>
            <w:shd w:val="clear" w:color="auto" w:fill="auto"/>
            <w:tcMar>
              <w:left w:w="57" w:type="dxa"/>
              <w:right w:w="454" w:type="dxa"/>
            </w:tcMar>
            <w:vAlign w:val="center"/>
          </w:tcPr>
          <w:p w14:paraId="533BD2CD" w14:textId="77777777" w:rsidR="00C01C52" w:rsidRDefault="00F60FAA" w:rsidP="00C01C52">
            <w:pPr>
              <w:jc w:val="right"/>
            </w:pPr>
            <w:r>
              <w:t>(291)</w:t>
            </w:r>
          </w:p>
        </w:tc>
      </w:tr>
      <w:tr w:rsidR="002B7C48" w14:paraId="533BD2D4" w14:textId="77777777" w:rsidTr="00C01C52">
        <w:trPr>
          <w:trHeight w:val="340"/>
        </w:trPr>
        <w:tc>
          <w:tcPr>
            <w:tcW w:w="3828" w:type="dxa"/>
            <w:tcBorders>
              <w:top w:val="nil"/>
              <w:bottom w:val="nil"/>
              <w:right w:val="nil"/>
            </w:tcBorders>
            <w:shd w:val="clear" w:color="auto" w:fill="auto"/>
            <w:vAlign w:val="center"/>
          </w:tcPr>
          <w:p w14:paraId="533BD2CF" w14:textId="77777777" w:rsidR="00C01C52" w:rsidRDefault="00F60FAA" w:rsidP="00C01C52">
            <w:pPr>
              <w:jc w:val="left"/>
            </w:pPr>
            <w:r>
              <w:t xml:space="preserve">  Council Tax</w:t>
            </w:r>
          </w:p>
        </w:tc>
        <w:tc>
          <w:tcPr>
            <w:tcW w:w="1686" w:type="dxa"/>
            <w:tcBorders>
              <w:top w:val="nil"/>
              <w:left w:val="nil"/>
              <w:bottom w:val="nil"/>
              <w:right w:val="nil"/>
            </w:tcBorders>
            <w:shd w:val="clear" w:color="auto" w:fill="auto"/>
            <w:tcMar>
              <w:left w:w="57" w:type="dxa"/>
              <w:right w:w="454" w:type="dxa"/>
            </w:tcMar>
            <w:vAlign w:val="center"/>
          </w:tcPr>
          <w:p w14:paraId="533BD2D0" w14:textId="77777777" w:rsidR="00C01C52" w:rsidRDefault="00F60FAA" w:rsidP="00C01C52">
            <w:pPr>
              <w:jc w:val="right"/>
            </w:pPr>
            <w:r>
              <w:t>(8,328)</w:t>
            </w:r>
          </w:p>
        </w:tc>
        <w:tc>
          <w:tcPr>
            <w:tcW w:w="1574" w:type="dxa"/>
            <w:tcBorders>
              <w:top w:val="nil"/>
              <w:left w:val="nil"/>
              <w:bottom w:val="nil"/>
              <w:right w:val="nil"/>
            </w:tcBorders>
            <w:shd w:val="clear" w:color="auto" w:fill="auto"/>
            <w:tcMar>
              <w:left w:w="57" w:type="dxa"/>
              <w:right w:w="454" w:type="dxa"/>
            </w:tcMar>
            <w:vAlign w:val="center"/>
          </w:tcPr>
          <w:p w14:paraId="533BD2D1" w14:textId="77777777" w:rsidR="00C01C52" w:rsidRDefault="00F60FAA" w:rsidP="00C01C52">
            <w:pPr>
              <w:jc w:val="right"/>
            </w:pPr>
            <w:r>
              <w:t>(8,329)</w:t>
            </w:r>
          </w:p>
        </w:tc>
        <w:tc>
          <w:tcPr>
            <w:tcW w:w="1417" w:type="dxa"/>
            <w:tcBorders>
              <w:top w:val="nil"/>
              <w:left w:val="nil"/>
              <w:bottom w:val="nil"/>
              <w:right w:val="nil"/>
            </w:tcBorders>
            <w:shd w:val="clear" w:color="auto" w:fill="auto"/>
            <w:tcMar>
              <w:left w:w="57" w:type="dxa"/>
              <w:right w:w="454" w:type="dxa"/>
            </w:tcMar>
            <w:vAlign w:val="center"/>
          </w:tcPr>
          <w:p w14:paraId="533BD2D2" w14:textId="77777777" w:rsidR="00C01C52" w:rsidRDefault="00F60FAA" w:rsidP="00C01C52">
            <w:pPr>
              <w:jc w:val="right"/>
            </w:pPr>
            <w:r>
              <w:t>(8,329)</w:t>
            </w:r>
          </w:p>
        </w:tc>
        <w:tc>
          <w:tcPr>
            <w:tcW w:w="1418" w:type="dxa"/>
            <w:tcBorders>
              <w:top w:val="nil"/>
              <w:left w:val="nil"/>
              <w:bottom w:val="nil"/>
            </w:tcBorders>
            <w:shd w:val="clear" w:color="auto" w:fill="auto"/>
            <w:tcMar>
              <w:left w:w="57" w:type="dxa"/>
              <w:right w:w="454" w:type="dxa"/>
            </w:tcMar>
            <w:vAlign w:val="center"/>
          </w:tcPr>
          <w:p w14:paraId="533BD2D3" w14:textId="77777777" w:rsidR="00C01C52" w:rsidRDefault="00F60FAA" w:rsidP="00C01C52">
            <w:pPr>
              <w:jc w:val="right"/>
            </w:pPr>
            <w:r>
              <w:t>0</w:t>
            </w:r>
          </w:p>
        </w:tc>
      </w:tr>
      <w:tr w:rsidR="002B7C48" w14:paraId="533BD2DA" w14:textId="77777777" w:rsidTr="00C01C52">
        <w:trPr>
          <w:trHeight w:val="340"/>
        </w:trPr>
        <w:tc>
          <w:tcPr>
            <w:tcW w:w="3828" w:type="dxa"/>
            <w:tcBorders>
              <w:top w:val="nil"/>
              <w:bottom w:val="nil"/>
              <w:right w:val="nil"/>
            </w:tcBorders>
            <w:shd w:val="clear" w:color="auto" w:fill="auto"/>
            <w:vAlign w:val="center"/>
          </w:tcPr>
          <w:p w14:paraId="533BD2D5" w14:textId="77777777" w:rsidR="00C01C52" w:rsidRPr="004B46C7" w:rsidRDefault="00F60FAA" w:rsidP="00C01C52">
            <w:pPr>
              <w:jc w:val="left"/>
            </w:pPr>
            <w:r>
              <w:t xml:space="preserve">  </w:t>
            </w:r>
            <w:r w:rsidRPr="004B46C7">
              <w:t>Contribution to</w:t>
            </w:r>
            <w:r>
              <w:t xml:space="preserve"> </w:t>
            </w:r>
            <w:r w:rsidRPr="004B46C7">
              <w:t>/</w:t>
            </w:r>
            <w:r>
              <w:t xml:space="preserve"> </w:t>
            </w:r>
            <w:r w:rsidRPr="004B46C7">
              <w:t>(from) reserves</w:t>
            </w:r>
          </w:p>
        </w:tc>
        <w:tc>
          <w:tcPr>
            <w:tcW w:w="1686" w:type="dxa"/>
            <w:tcBorders>
              <w:top w:val="nil"/>
              <w:left w:val="nil"/>
              <w:bottom w:val="single" w:sz="4" w:space="0" w:color="auto"/>
              <w:right w:val="nil"/>
            </w:tcBorders>
            <w:shd w:val="clear" w:color="auto" w:fill="auto"/>
            <w:tcMar>
              <w:left w:w="57" w:type="dxa"/>
              <w:right w:w="454" w:type="dxa"/>
            </w:tcMar>
            <w:vAlign w:val="center"/>
          </w:tcPr>
          <w:p w14:paraId="533BD2D6" w14:textId="77777777" w:rsidR="00C01C52" w:rsidRPr="004B46C7" w:rsidRDefault="00F60FAA" w:rsidP="00C01C52">
            <w:pPr>
              <w:jc w:val="right"/>
            </w:pPr>
            <w:r>
              <w:t>550</w:t>
            </w:r>
          </w:p>
        </w:tc>
        <w:tc>
          <w:tcPr>
            <w:tcW w:w="1574" w:type="dxa"/>
            <w:tcBorders>
              <w:top w:val="nil"/>
              <w:left w:val="nil"/>
              <w:bottom w:val="single" w:sz="4" w:space="0" w:color="auto"/>
              <w:right w:val="nil"/>
            </w:tcBorders>
            <w:shd w:val="clear" w:color="auto" w:fill="auto"/>
            <w:tcMar>
              <w:left w:w="57" w:type="dxa"/>
              <w:right w:w="454" w:type="dxa"/>
            </w:tcMar>
            <w:vAlign w:val="center"/>
          </w:tcPr>
          <w:p w14:paraId="533BD2D7" w14:textId="77777777" w:rsidR="00C01C52" w:rsidRDefault="00F60FAA" w:rsidP="00C01C52">
            <w:pPr>
              <w:jc w:val="right"/>
            </w:pPr>
            <w:r>
              <w:t>461</w:t>
            </w:r>
          </w:p>
        </w:tc>
        <w:tc>
          <w:tcPr>
            <w:tcW w:w="1417" w:type="dxa"/>
            <w:tcBorders>
              <w:top w:val="nil"/>
              <w:left w:val="nil"/>
              <w:bottom w:val="single" w:sz="4" w:space="0" w:color="auto"/>
              <w:right w:val="nil"/>
            </w:tcBorders>
            <w:shd w:val="clear" w:color="auto" w:fill="auto"/>
            <w:tcMar>
              <w:left w:w="57" w:type="dxa"/>
              <w:right w:w="454" w:type="dxa"/>
            </w:tcMar>
            <w:vAlign w:val="center"/>
          </w:tcPr>
          <w:p w14:paraId="533BD2D8" w14:textId="77777777" w:rsidR="00C01C52" w:rsidRDefault="00F60FAA" w:rsidP="00C01C52">
            <w:pPr>
              <w:jc w:val="right"/>
            </w:pPr>
            <w:r>
              <w:t>496</w:t>
            </w:r>
          </w:p>
        </w:tc>
        <w:tc>
          <w:tcPr>
            <w:tcW w:w="1418" w:type="dxa"/>
            <w:tcBorders>
              <w:top w:val="nil"/>
              <w:left w:val="nil"/>
              <w:bottom w:val="single" w:sz="4" w:space="0" w:color="auto"/>
            </w:tcBorders>
            <w:shd w:val="clear" w:color="auto" w:fill="auto"/>
            <w:tcMar>
              <w:left w:w="57" w:type="dxa"/>
              <w:right w:w="454" w:type="dxa"/>
            </w:tcMar>
            <w:vAlign w:val="center"/>
          </w:tcPr>
          <w:p w14:paraId="533BD2D9" w14:textId="77777777" w:rsidR="00C01C52" w:rsidRPr="004B46C7" w:rsidRDefault="00F60FAA" w:rsidP="00C01C52">
            <w:pPr>
              <w:jc w:val="right"/>
            </w:pPr>
            <w:r>
              <w:t>35</w:t>
            </w:r>
          </w:p>
        </w:tc>
      </w:tr>
      <w:tr w:rsidR="002B7C48" w14:paraId="533BD2E0" w14:textId="77777777" w:rsidTr="00C01C52">
        <w:trPr>
          <w:trHeight w:val="340"/>
        </w:trPr>
        <w:tc>
          <w:tcPr>
            <w:tcW w:w="3828" w:type="dxa"/>
            <w:tcBorders>
              <w:top w:val="nil"/>
              <w:bottom w:val="nil"/>
              <w:right w:val="nil"/>
            </w:tcBorders>
            <w:shd w:val="clear" w:color="auto" w:fill="auto"/>
            <w:vAlign w:val="center"/>
          </w:tcPr>
          <w:p w14:paraId="533BD2DB" w14:textId="77777777" w:rsidR="00C01C52" w:rsidRPr="009741E4" w:rsidRDefault="00F60FAA" w:rsidP="00C01C52">
            <w:pPr>
              <w:rPr>
                <w:b/>
              </w:rPr>
            </w:pPr>
            <w:r w:rsidRPr="009741E4">
              <w:rPr>
                <w:b/>
              </w:rPr>
              <w:t>Total Funding</w:t>
            </w:r>
          </w:p>
        </w:tc>
        <w:tc>
          <w:tcPr>
            <w:tcW w:w="1686" w:type="dxa"/>
            <w:tcBorders>
              <w:top w:val="single" w:sz="4" w:space="0" w:color="auto"/>
              <w:left w:val="nil"/>
              <w:bottom w:val="single" w:sz="4" w:space="0" w:color="auto"/>
              <w:right w:val="nil"/>
            </w:tcBorders>
            <w:shd w:val="clear" w:color="auto" w:fill="auto"/>
            <w:tcMar>
              <w:left w:w="57" w:type="dxa"/>
              <w:right w:w="454" w:type="dxa"/>
            </w:tcMar>
            <w:vAlign w:val="center"/>
          </w:tcPr>
          <w:p w14:paraId="533BD2DC" w14:textId="77777777" w:rsidR="00C01C52" w:rsidRPr="00F100F2" w:rsidRDefault="00F60FAA" w:rsidP="00C01C52">
            <w:pPr>
              <w:jc w:val="right"/>
              <w:rPr>
                <w:b/>
              </w:rPr>
            </w:pPr>
            <w:r w:rsidRPr="00F100F2">
              <w:rPr>
                <w:b/>
              </w:rPr>
              <w:t>(14,492)</w:t>
            </w:r>
          </w:p>
        </w:tc>
        <w:tc>
          <w:tcPr>
            <w:tcW w:w="1574" w:type="dxa"/>
            <w:tcBorders>
              <w:top w:val="single" w:sz="4" w:space="0" w:color="auto"/>
              <w:left w:val="nil"/>
              <w:bottom w:val="single" w:sz="4" w:space="0" w:color="auto"/>
              <w:right w:val="nil"/>
            </w:tcBorders>
            <w:tcMar>
              <w:left w:w="57" w:type="dxa"/>
              <w:right w:w="454" w:type="dxa"/>
            </w:tcMar>
            <w:vAlign w:val="center"/>
          </w:tcPr>
          <w:p w14:paraId="533BD2DD" w14:textId="77777777" w:rsidR="00C01C52" w:rsidRPr="00C374FB" w:rsidRDefault="00F60FAA" w:rsidP="00C01C52">
            <w:pPr>
              <w:jc w:val="right"/>
              <w:rPr>
                <w:b/>
              </w:rPr>
            </w:pPr>
            <w:r>
              <w:rPr>
                <w:b/>
              </w:rPr>
              <w:t>(14,581)</w:t>
            </w:r>
          </w:p>
        </w:tc>
        <w:tc>
          <w:tcPr>
            <w:tcW w:w="1417" w:type="dxa"/>
            <w:tcBorders>
              <w:top w:val="single" w:sz="4" w:space="0" w:color="auto"/>
              <w:left w:val="nil"/>
              <w:bottom w:val="single" w:sz="4" w:space="0" w:color="auto"/>
              <w:right w:val="nil"/>
            </w:tcBorders>
            <w:shd w:val="clear" w:color="auto" w:fill="auto"/>
            <w:tcMar>
              <w:left w:w="57" w:type="dxa"/>
              <w:right w:w="454" w:type="dxa"/>
            </w:tcMar>
            <w:vAlign w:val="center"/>
          </w:tcPr>
          <w:p w14:paraId="533BD2DE" w14:textId="77777777" w:rsidR="00C01C52" w:rsidRPr="00C374FB" w:rsidRDefault="00F60FAA" w:rsidP="00C01C52">
            <w:pPr>
              <w:jc w:val="right"/>
              <w:rPr>
                <w:b/>
              </w:rPr>
            </w:pPr>
            <w:r>
              <w:rPr>
                <w:b/>
              </w:rPr>
              <w:t>(14,826)</w:t>
            </w:r>
          </w:p>
        </w:tc>
        <w:tc>
          <w:tcPr>
            <w:tcW w:w="1418" w:type="dxa"/>
            <w:tcBorders>
              <w:top w:val="single" w:sz="4" w:space="0" w:color="auto"/>
              <w:left w:val="nil"/>
              <w:bottom w:val="single" w:sz="4" w:space="0" w:color="auto"/>
            </w:tcBorders>
            <w:shd w:val="clear" w:color="auto" w:fill="auto"/>
            <w:tcMar>
              <w:left w:w="57" w:type="dxa"/>
              <w:right w:w="454" w:type="dxa"/>
            </w:tcMar>
            <w:vAlign w:val="center"/>
          </w:tcPr>
          <w:p w14:paraId="533BD2DF" w14:textId="77777777" w:rsidR="00C01C52" w:rsidRPr="009741E4" w:rsidRDefault="00F60FAA" w:rsidP="00C01C52">
            <w:pPr>
              <w:jc w:val="right"/>
              <w:rPr>
                <w:b/>
              </w:rPr>
            </w:pPr>
            <w:r>
              <w:rPr>
                <w:b/>
              </w:rPr>
              <w:t>(245)</w:t>
            </w:r>
          </w:p>
        </w:tc>
      </w:tr>
      <w:tr w:rsidR="002B7C48" w14:paraId="533BD2E6" w14:textId="77777777" w:rsidTr="00C01C52">
        <w:trPr>
          <w:trHeight w:val="340"/>
        </w:trPr>
        <w:tc>
          <w:tcPr>
            <w:tcW w:w="3828" w:type="dxa"/>
            <w:tcBorders>
              <w:top w:val="nil"/>
              <w:bottom w:val="nil"/>
              <w:right w:val="nil"/>
            </w:tcBorders>
            <w:shd w:val="clear" w:color="auto" w:fill="auto"/>
            <w:vAlign w:val="center"/>
          </w:tcPr>
          <w:p w14:paraId="533BD2E1" w14:textId="77777777" w:rsidR="00C01C52" w:rsidRDefault="00F60FAA" w:rsidP="00C01C52"/>
        </w:tc>
        <w:tc>
          <w:tcPr>
            <w:tcW w:w="1686" w:type="dxa"/>
            <w:tcBorders>
              <w:top w:val="single" w:sz="4" w:space="0" w:color="auto"/>
              <w:left w:val="nil"/>
              <w:bottom w:val="single" w:sz="4" w:space="0" w:color="auto"/>
              <w:right w:val="nil"/>
            </w:tcBorders>
            <w:shd w:val="clear" w:color="auto" w:fill="auto"/>
            <w:tcMar>
              <w:left w:w="57" w:type="dxa"/>
              <w:right w:w="454" w:type="dxa"/>
            </w:tcMar>
            <w:vAlign w:val="center"/>
          </w:tcPr>
          <w:p w14:paraId="533BD2E2" w14:textId="77777777" w:rsidR="00C01C52" w:rsidRDefault="00F60FAA" w:rsidP="00C01C52">
            <w:pPr>
              <w:jc w:val="right"/>
            </w:pPr>
          </w:p>
        </w:tc>
        <w:tc>
          <w:tcPr>
            <w:tcW w:w="1574" w:type="dxa"/>
            <w:tcBorders>
              <w:top w:val="single" w:sz="4" w:space="0" w:color="auto"/>
              <w:left w:val="nil"/>
              <w:bottom w:val="single" w:sz="4" w:space="0" w:color="auto"/>
              <w:right w:val="nil"/>
            </w:tcBorders>
            <w:tcMar>
              <w:left w:w="57" w:type="dxa"/>
              <w:right w:w="454" w:type="dxa"/>
            </w:tcMar>
            <w:vAlign w:val="center"/>
          </w:tcPr>
          <w:p w14:paraId="533BD2E3" w14:textId="77777777" w:rsidR="00C01C52" w:rsidRDefault="00F60FAA" w:rsidP="00C01C52">
            <w:pPr>
              <w:jc w:val="right"/>
            </w:pPr>
          </w:p>
        </w:tc>
        <w:tc>
          <w:tcPr>
            <w:tcW w:w="1417" w:type="dxa"/>
            <w:tcBorders>
              <w:top w:val="single" w:sz="4" w:space="0" w:color="auto"/>
              <w:left w:val="nil"/>
              <w:bottom w:val="single" w:sz="4" w:space="0" w:color="auto"/>
              <w:right w:val="nil"/>
            </w:tcBorders>
            <w:shd w:val="clear" w:color="auto" w:fill="auto"/>
            <w:tcMar>
              <w:left w:w="57" w:type="dxa"/>
              <w:right w:w="454" w:type="dxa"/>
            </w:tcMar>
            <w:vAlign w:val="center"/>
          </w:tcPr>
          <w:p w14:paraId="533BD2E4" w14:textId="77777777" w:rsidR="00C01C52" w:rsidRDefault="00F60FAA" w:rsidP="00C01C52">
            <w:pPr>
              <w:jc w:val="right"/>
            </w:pPr>
          </w:p>
        </w:tc>
        <w:tc>
          <w:tcPr>
            <w:tcW w:w="1418" w:type="dxa"/>
            <w:tcBorders>
              <w:top w:val="single" w:sz="4" w:space="0" w:color="auto"/>
              <w:left w:val="nil"/>
              <w:bottom w:val="single" w:sz="4" w:space="0" w:color="auto"/>
            </w:tcBorders>
            <w:shd w:val="clear" w:color="auto" w:fill="auto"/>
            <w:tcMar>
              <w:left w:w="57" w:type="dxa"/>
              <w:right w:w="454" w:type="dxa"/>
            </w:tcMar>
            <w:vAlign w:val="center"/>
          </w:tcPr>
          <w:p w14:paraId="533BD2E5" w14:textId="77777777" w:rsidR="00C01C52" w:rsidRDefault="00F60FAA" w:rsidP="00C01C52">
            <w:pPr>
              <w:jc w:val="right"/>
            </w:pPr>
          </w:p>
        </w:tc>
      </w:tr>
      <w:tr w:rsidR="002B7C48" w14:paraId="533BD2EC" w14:textId="77777777" w:rsidTr="00C01C52">
        <w:trPr>
          <w:trHeight w:val="340"/>
        </w:trPr>
        <w:tc>
          <w:tcPr>
            <w:tcW w:w="3828" w:type="dxa"/>
            <w:tcBorders>
              <w:top w:val="nil"/>
              <w:bottom w:val="nil"/>
              <w:right w:val="nil"/>
            </w:tcBorders>
            <w:shd w:val="clear" w:color="auto" w:fill="auto"/>
            <w:vAlign w:val="center"/>
          </w:tcPr>
          <w:p w14:paraId="533BD2E7" w14:textId="77777777" w:rsidR="00C01C52" w:rsidRPr="009741E4" w:rsidRDefault="00F60FAA" w:rsidP="00C01C52">
            <w:pPr>
              <w:rPr>
                <w:b/>
              </w:rPr>
            </w:pPr>
            <w:r w:rsidRPr="009741E4">
              <w:rPr>
                <w:b/>
              </w:rPr>
              <w:t xml:space="preserve">Net (Surplus) </w:t>
            </w:r>
            <w:r>
              <w:rPr>
                <w:b/>
              </w:rPr>
              <w:t xml:space="preserve">/ </w:t>
            </w:r>
            <w:r w:rsidRPr="009741E4">
              <w:rPr>
                <w:b/>
              </w:rPr>
              <w:t>Deficit</w:t>
            </w:r>
          </w:p>
        </w:tc>
        <w:tc>
          <w:tcPr>
            <w:tcW w:w="1686" w:type="dxa"/>
            <w:tcBorders>
              <w:top w:val="single" w:sz="4" w:space="0" w:color="auto"/>
              <w:left w:val="nil"/>
              <w:bottom w:val="single" w:sz="4" w:space="0" w:color="auto"/>
              <w:right w:val="nil"/>
            </w:tcBorders>
            <w:shd w:val="clear" w:color="auto" w:fill="auto"/>
            <w:tcMar>
              <w:left w:w="57" w:type="dxa"/>
              <w:right w:w="454" w:type="dxa"/>
            </w:tcMar>
            <w:vAlign w:val="center"/>
          </w:tcPr>
          <w:p w14:paraId="533BD2E8" w14:textId="77777777" w:rsidR="00C01C52" w:rsidRPr="009741E4" w:rsidRDefault="00F60FAA" w:rsidP="00C01C52">
            <w:pPr>
              <w:jc w:val="right"/>
              <w:rPr>
                <w:b/>
              </w:rPr>
            </w:pPr>
            <w:r>
              <w:rPr>
                <w:b/>
              </w:rPr>
              <w:t>0</w:t>
            </w:r>
          </w:p>
        </w:tc>
        <w:tc>
          <w:tcPr>
            <w:tcW w:w="1574" w:type="dxa"/>
            <w:tcBorders>
              <w:top w:val="single" w:sz="4" w:space="0" w:color="auto"/>
              <w:left w:val="nil"/>
              <w:bottom w:val="single" w:sz="4" w:space="0" w:color="auto"/>
              <w:right w:val="nil"/>
            </w:tcBorders>
            <w:tcMar>
              <w:left w:w="57" w:type="dxa"/>
              <w:right w:w="454" w:type="dxa"/>
            </w:tcMar>
            <w:vAlign w:val="center"/>
          </w:tcPr>
          <w:p w14:paraId="533BD2E9" w14:textId="77777777" w:rsidR="00C01C52" w:rsidRPr="009741E4" w:rsidRDefault="00F60FAA" w:rsidP="00C01C52">
            <w:pPr>
              <w:jc w:val="right"/>
              <w:rPr>
                <w:b/>
              </w:rPr>
            </w:pPr>
            <w:r>
              <w:rPr>
                <w:b/>
              </w:rPr>
              <w:t>0</w:t>
            </w:r>
          </w:p>
        </w:tc>
        <w:tc>
          <w:tcPr>
            <w:tcW w:w="1417" w:type="dxa"/>
            <w:tcBorders>
              <w:top w:val="single" w:sz="4" w:space="0" w:color="auto"/>
              <w:left w:val="nil"/>
              <w:bottom w:val="single" w:sz="4" w:space="0" w:color="auto"/>
              <w:right w:val="nil"/>
            </w:tcBorders>
            <w:shd w:val="clear" w:color="auto" w:fill="auto"/>
            <w:tcMar>
              <w:left w:w="57" w:type="dxa"/>
              <w:right w:w="454" w:type="dxa"/>
            </w:tcMar>
            <w:vAlign w:val="center"/>
          </w:tcPr>
          <w:p w14:paraId="533BD2EA" w14:textId="77777777" w:rsidR="00C01C52" w:rsidRPr="007D4D1E" w:rsidRDefault="00F60FAA" w:rsidP="00C01C52">
            <w:pPr>
              <w:jc w:val="right"/>
              <w:rPr>
                <w:b/>
              </w:rPr>
            </w:pPr>
            <w:r w:rsidRPr="007D4D1E">
              <w:rPr>
                <w:b/>
              </w:rPr>
              <w:t>(</w:t>
            </w:r>
            <w:r>
              <w:rPr>
                <w:b/>
              </w:rPr>
              <w:t>434</w:t>
            </w:r>
            <w:r w:rsidRPr="007D4D1E">
              <w:rPr>
                <w:b/>
              </w:rPr>
              <w:t>)</w:t>
            </w:r>
          </w:p>
        </w:tc>
        <w:tc>
          <w:tcPr>
            <w:tcW w:w="1418" w:type="dxa"/>
            <w:tcBorders>
              <w:top w:val="single" w:sz="4" w:space="0" w:color="auto"/>
              <w:left w:val="nil"/>
              <w:bottom w:val="single" w:sz="4" w:space="0" w:color="auto"/>
            </w:tcBorders>
            <w:shd w:val="clear" w:color="auto" w:fill="auto"/>
            <w:tcMar>
              <w:left w:w="57" w:type="dxa"/>
              <w:right w:w="454" w:type="dxa"/>
            </w:tcMar>
            <w:vAlign w:val="center"/>
          </w:tcPr>
          <w:p w14:paraId="533BD2EB" w14:textId="77777777" w:rsidR="00C01C52" w:rsidRPr="007D4D1E" w:rsidRDefault="00F60FAA" w:rsidP="00C01C52">
            <w:pPr>
              <w:jc w:val="right"/>
              <w:rPr>
                <w:b/>
              </w:rPr>
            </w:pPr>
            <w:r w:rsidRPr="007D4D1E">
              <w:rPr>
                <w:b/>
              </w:rPr>
              <w:t>(</w:t>
            </w:r>
            <w:r>
              <w:rPr>
                <w:b/>
              </w:rPr>
              <w:t>434</w:t>
            </w:r>
            <w:r w:rsidRPr="007D4D1E">
              <w:rPr>
                <w:b/>
              </w:rPr>
              <w:t>)</w:t>
            </w:r>
          </w:p>
        </w:tc>
      </w:tr>
      <w:tr w:rsidR="002B7C48" w14:paraId="533BD2F2" w14:textId="77777777" w:rsidTr="00C01C52">
        <w:trPr>
          <w:trHeight w:val="340"/>
        </w:trPr>
        <w:tc>
          <w:tcPr>
            <w:tcW w:w="3828" w:type="dxa"/>
            <w:tcBorders>
              <w:top w:val="nil"/>
              <w:bottom w:val="nil"/>
              <w:right w:val="nil"/>
            </w:tcBorders>
            <w:shd w:val="clear" w:color="auto" w:fill="auto"/>
            <w:vAlign w:val="center"/>
          </w:tcPr>
          <w:p w14:paraId="533BD2ED" w14:textId="77777777" w:rsidR="00C01C52" w:rsidRPr="009741E4" w:rsidRDefault="00F60FAA" w:rsidP="00C01C52">
            <w:pPr>
              <w:rPr>
                <w:b/>
              </w:rPr>
            </w:pPr>
            <w:r>
              <w:rPr>
                <w:b/>
              </w:rPr>
              <w:t>Less Ring-fenced Town Deal funding</w:t>
            </w:r>
          </w:p>
        </w:tc>
        <w:tc>
          <w:tcPr>
            <w:tcW w:w="1686" w:type="dxa"/>
            <w:tcBorders>
              <w:top w:val="single" w:sz="4" w:space="0" w:color="auto"/>
              <w:left w:val="nil"/>
              <w:bottom w:val="single" w:sz="4" w:space="0" w:color="auto"/>
              <w:right w:val="nil"/>
            </w:tcBorders>
            <w:shd w:val="clear" w:color="auto" w:fill="auto"/>
            <w:tcMar>
              <w:left w:w="57" w:type="dxa"/>
              <w:right w:w="454" w:type="dxa"/>
            </w:tcMar>
            <w:vAlign w:val="center"/>
          </w:tcPr>
          <w:p w14:paraId="533BD2EE" w14:textId="77777777" w:rsidR="00C01C52" w:rsidRDefault="00F60FAA" w:rsidP="00C01C52">
            <w:pPr>
              <w:jc w:val="right"/>
              <w:rPr>
                <w:b/>
              </w:rPr>
            </w:pPr>
          </w:p>
        </w:tc>
        <w:tc>
          <w:tcPr>
            <w:tcW w:w="1574" w:type="dxa"/>
            <w:tcBorders>
              <w:top w:val="single" w:sz="4" w:space="0" w:color="auto"/>
              <w:left w:val="nil"/>
              <w:bottom w:val="single" w:sz="4" w:space="0" w:color="auto"/>
              <w:right w:val="nil"/>
            </w:tcBorders>
            <w:tcMar>
              <w:left w:w="57" w:type="dxa"/>
              <w:right w:w="454" w:type="dxa"/>
            </w:tcMar>
            <w:vAlign w:val="center"/>
          </w:tcPr>
          <w:p w14:paraId="533BD2EF" w14:textId="77777777" w:rsidR="00C01C52" w:rsidRDefault="00F60FAA" w:rsidP="00C01C52">
            <w:pPr>
              <w:jc w:val="right"/>
              <w:rPr>
                <w:b/>
              </w:rPr>
            </w:pPr>
          </w:p>
        </w:tc>
        <w:tc>
          <w:tcPr>
            <w:tcW w:w="1417" w:type="dxa"/>
            <w:tcBorders>
              <w:top w:val="single" w:sz="4" w:space="0" w:color="auto"/>
              <w:left w:val="nil"/>
              <w:bottom w:val="single" w:sz="4" w:space="0" w:color="auto"/>
              <w:right w:val="nil"/>
            </w:tcBorders>
            <w:shd w:val="clear" w:color="auto" w:fill="auto"/>
            <w:tcMar>
              <w:left w:w="57" w:type="dxa"/>
              <w:right w:w="454" w:type="dxa"/>
            </w:tcMar>
            <w:vAlign w:val="center"/>
          </w:tcPr>
          <w:p w14:paraId="533BD2F0" w14:textId="77777777" w:rsidR="00C01C52" w:rsidRPr="007D4D1E" w:rsidRDefault="00F60FAA" w:rsidP="00C01C52">
            <w:pPr>
              <w:jc w:val="right"/>
              <w:rPr>
                <w:b/>
              </w:rPr>
            </w:pPr>
          </w:p>
        </w:tc>
        <w:tc>
          <w:tcPr>
            <w:tcW w:w="1418" w:type="dxa"/>
            <w:tcBorders>
              <w:top w:val="single" w:sz="4" w:space="0" w:color="auto"/>
              <w:left w:val="nil"/>
              <w:bottom w:val="single" w:sz="4" w:space="0" w:color="auto"/>
            </w:tcBorders>
            <w:shd w:val="clear" w:color="auto" w:fill="auto"/>
            <w:tcMar>
              <w:left w:w="57" w:type="dxa"/>
              <w:right w:w="454" w:type="dxa"/>
            </w:tcMar>
            <w:vAlign w:val="center"/>
          </w:tcPr>
          <w:p w14:paraId="533BD2F1" w14:textId="77777777" w:rsidR="00C01C52" w:rsidRPr="007D4D1E" w:rsidRDefault="00F60FAA" w:rsidP="00C01C52">
            <w:pPr>
              <w:jc w:val="right"/>
              <w:rPr>
                <w:b/>
              </w:rPr>
            </w:pPr>
            <w:r>
              <w:rPr>
                <w:b/>
              </w:rPr>
              <w:t>162</w:t>
            </w:r>
          </w:p>
        </w:tc>
      </w:tr>
      <w:tr w:rsidR="002B7C48" w14:paraId="533BD2F8" w14:textId="77777777" w:rsidTr="00C01C52">
        <w:trPr>
          <w:trHeight w:val="340"/>
        </w:trPr>
        <w:tc>
          <w:tcPr>
            <w:tcW w:w="3828" w:type="dxa"/>
            <w:tcBorders>
              <w:top w:val="nil"/>
              <w:bottom w:val="single" w:sz="4" w:space="0" w:color="auto"/>
              <w:right w:val="nil"/>
            </w:tcBorders>
            <w:shd w:val="clear" w:color="auto" w:fill="auto"/>
            <w:vAlign w:val="center"/>
          </w:tcPr>
          <w:p w14:paraId="533BD2F3" w14:textId="77777777" w:rsidR="00C01C52" w:rsidRPr="009741E4" w:rsidRDefault="00F60FAA" w:rsidP="00C01C52">
            <w:pPr>
              <w:rPr>
                <w:b/>
              </w:rPr>
            </w:pPr>
            <w:r>
              <w:rPr>
                <w:b/>
              </w:rPr>
              <w:t>Forecast Underspending</w:t>
            </w:r>
          </w:p>
        </w:tc>
        <w:tc>
          <w:tcPr>
            <w:tcW w:w="1686" w:type="dxa"/>
            <w:tcBorders>
              <w:top w:val="single" w:sz="4" w:space="0" w:color="auto"/>
              <w:left w:val="nil"/>
              <w:bottom w:val="single" w:sz="4" w:space="0" w:color="auto"/>
              <w:right w:val="nil"/>
            </w:tcBorders>
            <w:shd w:val="clear" w:color="auto" w:fill="auto"/>
            <w:tcMar>
              <w:left w:w="57" w:type="dxa"/>
              <w:right w:w="454" w:type="dxa"/>
            </w:tcMar>
            <w:vAlign w:val="center"/>
          </w:tcPr>
          <w:p w14:paraId="533BD2F4" w14:textId="77777777" w:rsidR="00C01C52" w:rsidRDefault="00F60FAA" w:rsidP="00C01C52">
            <w:pPr>
              <w:jc w:val="right"/>
              <w:rPr>
                <w:b/>
              </w:rPr>
            </w:pPr>
          </w:p>
        </w:tc>
        <w:tc>
          <w:tcPr>
            <w:tcW w:w="1574" w:type="dxa"/>
            <w:tcBorders>
              <w:top w:val="single" w:sz="4" w:space="0" w:color="auto"/>
              <w:left w:val="nil"/>
              <w:bottom w:val="single" w:sz="4" w:space="0" w:color="auto"/>
              <w:right w:val="nil"/>
            </w:tcBorders>
            <w:tcMar>
              <w:left w:w="57" w:type="dxa"/>
              <w:right w:w="454" w:type="dxa"/>
            </w:tcMar>
            <w:vAlign w:val="center"/>
          </w:tcPr>
          <w:p w14:paraId="533BD2F5" w14:textId="77777777" w:rsidR="00C01C52" w:rsidRDefault="00F60FAA" w:rsidP="00C01C52">
            <w:pPr>
              <w:jc w:val="right"/>
              <w:rPr>
                <w:b/>
              </w:rPr>
            </w:pPr>
          </w:p>
        </w:tc>
        <w:tc>
          <w:tcPr>
            <w:tcW w:w="1417" w:type="dxa"/>
            <w:tcBorders>
              <w:top w:val="single" w:sz="4" w:space="0" w:color="auto"/>
              <w:left w:val="nil"/>
              <w:bottom w:val="single" w:sz="4" w:space="0" w:color="auto"/>
              <w:right w:val="nil"/>
            </w:tcBorders>
            <w:shd w:val="clear" w:color="auto" w:fill="auto"/>
            <w:tcMar>
              <w:left w:w="57" w:type="dxa"/>
              <w:right w:w="454" w:type="dxa"/>
            </w:tcMar>
            <w:vAlign w:val="center"/>
          </w:tcPr>
          <w:p w14:paraId="533BD2F6" w14:textId="77777777" w:rsidR="00C01C52" w:rsidRPr="007D4D1E" w:rsidRDefault="00F60FAA" w:rsidP="00C01C52">
            <w:pPr>
              <w:jc w:val="right"/>
              <w:rPr>
                <w:b/>
              </w:rPr>
            </w:pPr>
          </w:p>
        </w:tc>
        <w:tc>
          <w:tcPr>
            <w:tcW w:w="1418" w:type="dxa"/>
            <w:tcBorders>
              <w:top w:val="single" w:sz="4" w:space="0" w:color="auto"/>
              <w:left w:val="nil"/>
              <w:bottom w:val="single" w:sz="4" w:space="0" w:color="auto"/>
            </w:tcBorders>
            <w:shd w:val="clear" w:color="auto" w:fill="auto"/>
            <w:tcMar>
              <w:left w:w="57" w:type="dxa"/>
              <w:right w:w="454" w:type="dxa"/>
            </w:tcMar>
            <w:vAlign w:val="center"/>
          </w:tcPr>
          <w:p w14:paraId="533BD2F7" w14:textId="77777777" w:rsidR="00C01C52" w:rsidRPr="007D4D1E" w:rsidRDefault="00F60FAA" w:rsidP="00C01C52">
            <w:pPr>
              <w:jc w:val="right"/>
              <w:rPr>
                <w:b/>
              </w:rPr>
            </w:pPr>
            <w:r>
              <w:rPr>
                <w:b/>
              </w:rPr>
              <w:t>(272)</w:t>
            </w:r>
          </w:p>
        </w:tc>
      </w:tr>
    </w:tbl>
    <w:p w14:paraId="533BD2F9" w14:textId="77777777" w:rsidR="00C01C52" w:rsidRDefault="00F60FAA" w:rsidP="00C01C52"/>
    <w:p w14:paraId="533BD2FA" w14:textId="77777777" w:rsidR="00C01C52" w:rsidRDefault="00F60FAA" w:rsidP="00C01C52"/>
    <w:p w14:paraId="533BD2FB" w14:textId="77777777" w:rsidR="00C01C52" w:rsidRDefault="00F60FAA">
      <w:pPr>
        <w:spacing w:after="160" w:line="259" w:lineRule="auto"/>
        <w:jc w:val="left"/>
        <w:rPr>
          <w:b/>
        </w:rPr>
      </w:pPr>
      <w:r>
        <w:br w:type="page"/>
      </w:r>
    </w:p>
    <w:p w14:paraId="533BD2FC" w14:textId="77777777" w:rsidR="00C01C52" w:rsidRDefault="00F60FAA" w:rsidP="00C01C52">
      <w:pPr>
        <w:pStyle w:val="Heading3"/>
      </w:pPr>
      <w:r w:rsidRPr="00DA32D0">
        <w:lastRenderedPageBreak/>
        <w:t>Table 2: Projected Revenue Outturn Variations</w:t>
      </w:r>
    </w:p>
    <w:p w14:paraId="533BD2FD" w14:textId="77777777" w:rsidR="00C01C52" w:rsidRPr="00626CEB" w:rsidRDefault="00F60FAA" w:rsidP="00C01C52"/>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5954"/>
        <w:gridCol w:w="1275"/>
        <w:gridCol w:w="425"/>
        <w:gridCol w:w="1135"/>
      </w:tblGrid>
      <w:tr w:rsidR="002B7C48" w14:paraId="533BD303" w14:textId="77777777" w:rsidTr="00C01C52">
        <w:trPr>
          <w:tblHeader/>
        </w:trPr>
        <w:tc>
          <w:tcPr>
            <w:tcW w:w="5954" w:type="dxa"/>
            <w:tcBorders>
              <w:top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533BD2FE" w14:textId="77777777" w:rsidR="00C01C52" w:rsidRPr="007D6E0E" w:rsidRDefault="00F60FAA" w:rsidP="00C01C52">
            <w:pPr>
              <w:jc w:val="left"/>
            </w:pPr>
            <w:r w:rsidRPr="007D6E0E">
              <w:rPr>
                <w:b/>
              </w:rPr>
              <w:t>Detail</w:t>
            </w:r>
          </w:p>
        </w:tc>
        <w:tc>
          <w:tcPr>
            <w:tcW w:w="1275" w:type="dxa"/>
            <w:tcBorders>
              <w:top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533BD2FF" w14:textId="77777777" w:rsidR="00C01C52" w:rsidRPr="007D6E0E" w:rsidRDefault="00F60FAA" w:rsidP="00C01C52">
            <w:pPr>
              <w:jc w:val="center"/>
              <w:rPr>
                <w:b/>
                <w:szCs w:val="22"/>
              </w:rPr>
            </w:pPr>
            <w:r w:rsidRPr="007D6E0E">
              <w:rPr>
                <w:b/>
                <w:szCs w:val="22"/>
              </w:rPr>
              <w:t>Budget pressure / (saving)</w:t>
            </w:r>
          </w:p>
          <w:p w14:paraId="533BD300" w14:textId="77777777" w:rsidR="00C01C52" w:rsidRPr="007D6E0E" w:rsidRDefault="00F60FAA" w:rsidP="00C01C52">
            <w:pPr>
              <w:jc w:val="center"/>
              <w:rPr>
                <w:b/>
                <w:szCs w:val="22"/>
              </w:rPr>
            </w:pPr>
            <w:r w:rsidRPr="007D6E0E">
              <w:rPr>
                <w:b/>
                <w:szCs w:val="22"/>
              </w:rPr>
              <w:t>£’000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533BD301" w14:textId="77777777" w:rsidR="00C01C52" w:rsidRPr="007D6E0E" w:rsidRDefault="00F60FAA" w:rsidP="00C01C52">
            <w:pPr>
              <w:jc w:val="center"/>
              <w:rPr>
                <w:b/>
              </w:rPr>
            </w:pPr>
            <w:r w:rsidRPr="007D6E0E">
              <w:rPr>
                <w:b/>
              </w:rPr>
              <w:t xml:space="preserve">Forecast Variances at Quarter </w:t>
            </w:r>
            <w:r>
              <w:rPr>
                <w:b/>
              </w:rPr>
              <w:t>3</w:t>
            </w:r>
          </w:p>
          <w:p w14:paraId="533BD302" w14:textId="77777777" w:rsidR="00C01C52" w:rsidRPr="007D6E0E" w:rsidRDefault="00F60FAA" w:rsidP="00C01C52">
            <w:pPr>
              <w:jc w:val="center"/>
              <w:rPr>
                <w:b/>
              </w:rPr>
            </w:pPr>
            <w:r w:rsidRPr="007D6E0E">
              <w:rPr>
                <w:b/>
              </w:rPr>
              <w:t>£’000</w:t>
            </w:r>
          </w:p>
        </w:tc>
      </w:tr>
      <w:tr w:rsidR="002B7C48" w14:paraId="533BD308" w14:textId="77777777" w:rsidTr="00C01C52">
        <w:tc>
          <w:tcPr>
            <w:tcW w:w="5954" w:type="dxa"/>
            <w:tcBorders>
              <w:top w:val="single" w:sz="4" w:space="0" w:color="auto"/>
              <w:bottom w:val="nil"/>
              <w:right w:val="single" w:sz="4" w:space="0" w:color="BFBFBF" w:themeColor="background1" w:themeShade="BF"/>
            </w:tcBorders>
            <w:tcMar>
              <w:left w:w="57" w:type="dxa"/>
              <w:right w:w="57" w:type="dxa"/>
            </w:tcMar>
            <w:vAlign w:val="center"/>
          </w:tcPr>
          <w:p w14:paraId="533BD304" w14:textId="77777777" w:rsidR="00C01C52" w:rsidRPr="007D6E0E" w:rsidRDefault="00F60FAA" w:rsidP="00C01C52">
            <w:pPr>
              <w:rPr>
                <w:b/>
              </w:rPr>
            </w:pPr>
            <w:r w:rsidRPr="007D6E0E">
              <w:rPr>
                <w:b/>
              </w:rPr>
              <w:t>Chief Executive</w:t>
            </w:r>
          </w:p>
        </w:tc>
        <w:tc>
          <w:tcPr>
            <w:tcW w:w="1275" w:type="dxa"/>
            <w:tcBorders>
              <w:top w:val="single" w:sz="4" w:space="0" w:color="auto"/>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05" w14:textId="77777777" w:rsidR="00C01C52" w:rsidRPr="007D6E0E" w:rsidRDefault="00F60FAA" w:rsidP="00C01C52">
            <w:pPr>
              <w:jc w:val="right"/>
              <w:rPr>
                <w:b/>
              </w:rPr>
            </w:pPr>
          </w:p>
        </w:tc>
        <w:tc>
          <w:tcPr>
            <w:tcW w:w="425" w:type="dxa"/>
            <w:tcBorders>
              <w:top w:val="single" w:sz="4" w:space="0" w:color="auto"/>
              <w:left w:val="single" w:sz="4" w:space="0" w:color="BFBFBF" w:themeColor="background1" w:themeShade="BF"/>
              <w:bottom w:val="nil"/>
              <w:right w:val="nil"/>
            </w:tcBorders>
            <w:tcMar>
              <w:left w:w="57" w:type="dxa"/>
              <w:right w:w="57" w:type="dxa"/>
            </w:tcMar>
          </w:tcPr>
          <w:p w14:paraId="533BD306" w14:textId="77777777" w:rsidR="00C01C52" w:rsidRPr="007D6E0E" w:rsidRDefault="00F60FAA" w:rsidP="00C01C52">
            <w:pPr>
              <w:jc w:val="right"/>
              <w:rPr>
                <w:b/>
              </w:rPr>
            </w:pPr>
          </w:p>
        </w:tc>
        <w:tc>
          <w:tcPr>
            <w:tcW w:w="1135" w:type="dxa"/>
            <w:tcBorders>
              <w:top w:val="nil"/>
              <w:left w:val="nil"/>
              <w:bottom w:val="nil"/>
              <w:right w:val="single" w:sz="4" w:space="0" w:color="auto"/>
            </w:tcBorders>
            <w:tcMar>
              <w:left w:w="57" w:type="dxa"/>
              <w:right w:w="284" w:type="dxa"/>
            </w:tcMar>
            <w:vAlign w:val="center"/>
          </w:tcPr>
          <w:p w14:paraId="533BD307" w14:textId="77777777" w:rsidR="00C01C52" w:rsidRPr="007D6E0E" w:rsidRDefault="00F60FAA" w:rsidP="00C01C52">
            <w:pPr>
              <w:jc w:val="right"/>
              <w:rPr>
                <w:b/>
              </w:rPr>
            </w:pPr>
          </w:p>
        </w:tc>
      </w:tr>
      <w:tr w:rsidR="002B7C48" w14:paraId="533BD30D"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09" w14:textId="77777777" w:rsidR="00C01C52" w:rsidRPr="007D6E0E" w:rsidRDefault="00F60FAA" w:rsidP="00C01C52">
            <w:pPr>
              <w:jc w:val="left"/>
            </w:pPr>
            <w:r w:rsidRPr="007D6E0E">
              <w:t>Staffing Variances</w:t>
            </w:r>
            <w:r>
              <w:t xml:space="preserve"> – interim arrangements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0A" w14:textId="77777777" w:rsidR="00C01C52" w:rsidRPr="007D6E0E" w:rsidRDefault="00F60FAA" w:rsidP="00C01C52">
            <w:pPr>
              <w:jc w:val="right"/>
              <w:rPr>
                <w:szCs w:val="22"/>
              </w:rPr>
            </w:pPr>
            <w:r>
              <w:rPr>
                <w:szCs w:val="22"/>
              </w:rPr>
              <w:t>(3)</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0B" w14:textId="77777777" w:rsidR="00C01C52" w:rsidRPr="007D6E0E" w:rsidRDefault="00F60FAA" w:rsidP="00C01C52">
            <w:pPr>
              <w:jc w:val="right"/>
            </w:pPr>
          </w:p>
        </w:tc>
        <w:tc>
          <w:tcPr>
            <w:tcW w:w="1135" w:type="dxa"/>
            <w:vMerge w:val="restart"/>
            <w:tcBorders>
              <w:top w:val="nil"/>
              <w:left w:val="single" w:sz="4" w:space="0" w:color="auto"/>
              <w:bottom w:val="nil"/>
            </w:tcBorders>
            <w:tcMar>
              <w:left w:w="57" w:type="dxa"/>
              <w:right w:w="284" w:type="dxa"/>
            </w:tcMar>
            <w:vAlign w:val="center"/>
          </w:tcPr>
          <w:p w14:paraId="533BD30C" w14:textId="77777777" w:rsidR="00C01C52" w:rsidRPr="007D6E0E" w:rsidRDefault="00F60FAA" w:rsidP="00C01C52">
            <w:pPr>
              <w:jc w:val="right"/>
            </w:pPr>
            <w:r>
              <w:t>10</w:t>
            </w:r>
          </w:p>
        </w:tc>
      </w:tr>
      <w:tr w:rsidR="002B7C48" w14:paraId="533BD312"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0E" w14:textId="77777777" w:rsidR="00C01C52" w:rsidRPr="007D6E0E" w:rsidRDefault="00F60FAA" w:rsidP="00C01C52">
            <w:pPr>
              <w:jc w:val="left"/>
            </w:pPr>
            <w:r w:rsidRPr="007D6E0E">
              <w:t>Other</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0F" w14:textId="77777777" w:rsidR="00C01C52" w:rsidRPr="007D6E0E" w:rsidRDefault="00F60FAA" w:rsidP="00C01C52">
            <w:pPr>
              <w:jc w:val="right"/>
              <w:rPr>
                <w:szCs w:val="22"/>
              </w:rPr>
            </w:pPr>
            <w:r>
              <w:rPr>
                <w:szCs w:val="22"/>
              </w:rPr>
              <w:t>13</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10"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11" w14:textId="77777777" w:rsidR="00C01C52" w:rsidRPr="007D6E0E" w:rsidRDefault="00F60FAA" w:rsidP="00C01C52">
            <w:pPr>
              <w:jc w:val="right"/>
            </w:pPr>
          </w:p>
        </w:tc>
      </w:tr>
      <w:tr w:rsidR="002B7C48" w14:paraId="533BD317"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13" w14:textId="77777777" w:rsidR="00C01C52" w:rsidRPr="007D6E0E" w:rsidRDefault="00F60FAA" w:rsidP="00C01C52">
            <w:pPr>
              <w:rPr>
                <w:b/>
              </w:rPr>
            </w:pPr>
            <w:r w:rsidRPr="007D6E0E">
              <w:rPr>
                <w:b/>
              </w:rPr>
              <w:t>Neighbourhoods &amp; Development</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14" w14:textId="77777777" w:rsidR="00C01C52" w:rsidRPr="007D6E0E" w:rsidRDefault="00F60FAA" w:rsidP="00C01C52">
            <w:pPr>
              <w:jc w:val="right"/>
              <w:rPr>
                <w:szCs w:val="22"/>
              </w:rPr>
            </w:pPr>
          </w:p>
        </w:tc>
        <w:tc>
          <w:tcPr>
            <w:tcW w:w="425" w:type="dxa"/>
            <w:tcBorders>
              <w:top w:val="nil"/>
              <w:left w:val="single" w:sz="4" w:space="0" w:color="BFBFBF" w:themeColor="background1" w:themeShade="BF"/>
              <w:bottom w:val="nil"/>
              <w:right w:val="nil"/>
            </w:tcBorders>
            <w:tcMar>
              <w:left w:w="57" w:type="dxa"/>
              <w:right w:w="57" w:type="dxa"/>
            </w:tcMar>
          </w:tcPr>
          <w:p w14:paraId="533BD315" w14:textId="77777777" w:rsidR="00C01C52" w:rsidRPr="007D6E0E" w:rsidRDefault="00F60FAA" w:rsidP="00C01C52">
            <w:pPr>
              <w:jc w:val="right"/>
            </w:pPr>
          </w:p>
        </w:tc>
        <w:tc>
          <w:tcPr>
            <w:tcW w:w="1135" w:type="dxa"/>
            <w:tcBorders>
              <w:top w:val="nil"/>
              <w:left w:val="nil"/>
              <w:bottom w:val="nil"/>
            </w:tcBorders>
            <w:tcMar>
              <w:left w:w="57" w:type="dxa"/>
              <w:right w:w="284" w:type="dxa"/>
            </w:tcMar>
            <w:vAlign w:val="center"/>
          </w:tcPr>
          <w:p w14:paraId="533BD316" w14:textId="77777777" w:rsidR="00C01C52" w:rsidRPr="007D6E0E" w:rsidRDefault="00F60FAA" w:rsidP="00C01C52">
            <w:pPr>
              <w:jc w:val="right"/>
            </w:pPr>
          </w:p>
        </w:tc>
      </w:tr>
      <w:tr w:rsidR="002B7C48" w14:paraId="533BD31C"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18" w14:textId="77777777" w:rsidR="00C01C52" w:rsidRPr="00F03A86" w:rsidRDefault="00F60FAA" w:rsidP="00C01C52">
            <w:pPr>
              <w:jc w:val="left"/>
            </w:pPr>
            <w:r w:rsidRPr="00F03A86">
              <w:t>Staffing Variances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19" w14:textId="77777777" w:rsidR="00C01C52" w:rsidRPr="00F03A86" w:rsidRDefault="00F60FAA" w:rsidP="00C01C52">
            <w:pPr>
              <w:jc w:val="right"/>
              <w:rPr>
                <w:szCs w:val="22"/>
              </w:rPr>
            </w:pPr>
            <w:r w:rsidRPr="00F03A86">
              <w:rPr>
                <w:szCs w:val="22"/>
              </w:rPr>
              <w:t>1</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1A" w14:textId="77777777" w:rsidR="00C01C52" w:rsidRPr="00F03A86" w:rsidRDefault="00F60FAA" w:rsidP="00C01C52">
            <w:pPr>
              <w:jc w:val="right"/>
            </w:pPr>
          </w:p>
        </w:tc>
        <w:tc>
          <w:tcPr>
            <w:tcW w:w="1135" w:type="dxa"/>
            <w:vMerge w:val="restart"/>
            <w:tcBorders>
              <w:top w:val="nil"/>
              <w:left w:val="single" w:sz="4" w:space="0" w:color="auto"/>
              <w:bottom w:val="nil"/>
            </w:tcBorders>
            <w:tcMar>
              <w:left w:w="57" w:type="dxa"/>
              <w:right w:w="284" w:type="dxa"/>
            </w:tcMar>
            <w:vAlign w:val="center"/>
          </w:tcPr>
          <w:p w14:paraId="533BD31B" w14:textId="77777777" w:rsidR="00C01C52" w:rsidRPr="007D6E0E" w:rsidRDefault="00F60FAA" w:rsidP="00C01C52">
            <w:pPr>
              <w:jc w:val="right"/>
            </w:pPr>
            <w:r w:rsidRPr="00F03A86">
              <w:t>(49)</w:t>
            </w:r>
          </w:p>
        </w:tc>
      </w:tr>
      <w:tr w:rsidR="002B7C48" w14:paraId="533BD321"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1D" w14:textId="77777777" w:rsidR="00C01C52" w:rsidRPr="007D6E0E" w:rsidRDefault="00F60FAA" w:rsidP="00C01C52">
            <w:pPr>
              <w:jc w:val="left"/>
            </w:pPr>
            <w:r>
              <w:t xml:space="preserve">Cleansing reduced costs, external work brought in-house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1E" w14:textId="77777777" w:rsidR="00C01C52" w:rsidRDefault="00F60FAA" w:rsidP="00C01C52">
            <w:pPr>
              <w:jc w:val="right"/>
              <w:rPr>
                <w:szCs w:val="22"/>
              </w:rPr>
            </w:pPr>
            <w:r>
              <w:rPr>
                <w:szCs w:val="22"/>
              </w:rPr>
              <w:t>(18)</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1F"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20" w14:textId="77777777" w:rsidR="00C01C52" w:rsidRPr="007D6E0E" w:rsidRDefault="00F60FAA" w:rsidP="00C01C52">
            <w:pPr>
              <w:jc w:val="right"/>
            </w:pPr>
          </w:p>
        </w:tc>
      </w:tr>
      <w:tr w:rsidR="002B7C48" w14:paraId="533BD326"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22" w14:textId="77777777" w:rsidR="00C01C52" w:rsidRPr="007D6E0E" w:rsidRDefault="00F60FAA" w:rsidP="00C01C52">
            <w:pPr>
              <w:jc w:val="left"/>
            </w:pPr>
            <w:r w:rsidRPr="007D6E0E">
              <w:t>Garden Waste income - exceeded budget</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23" w14:textId="77777777" w:rsidR="00C01C52" w:rsidRPr="007D6E0E" w:rsidRDefault="00F60FAA" w:rsidP="00C01C52">
            <w:pPr>
              <w:jc w:val="right"/>
              <w:rPr>
                <w:szCs w:val="22"/>
              </w:rPr>
            </w:pPr>
            <w:r>
              <w:rPr>
                <w:szCs w:val="22"/>
              </w:rPr>
              <w:t>(158)</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24"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25" w14:textId="77777777" w:rsidR="00C01C52" w:rsidRPr="007D6E0E" w:rsidRDefault="00F60FAA" w:rsidP="00C01C52">
            <w:pPr>
              <w:jc w:val="right"/>
            </w:pPr>
          </w:p>
        </w:tc>
      </w:tr>
      <w:tr w:rsidR="002B7C48" w14:paraId="533BD32B"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27" w14:textId="77777777" w:rsidR="00C01C52" w:rsidRPr="007D6E0E" w:rsidRDefault="00F60FAA" w:rsidP="00C01C52">
            <w:pPr>
              <w:jc w:val="left"/>
            </w:pPr>
            <w:r w:rsidRPr="007D6E0E">
              <w:t xml:space="preserve">Trade Waste </w:t>
            </w:r>
            <w:proofErr w:type="gramStart"/>
            <w:r w:rsidRPr="007D6E0E">
              <w:t>income  -</w:t>
            </w:r>
            <w:proofErr w:type="gramEnd"/>
            <w:r w:rsidRPr="007D6E0E">
              <w:t xml:space="preserve"> </w:t>
            </w:r>
            <w:r w:rsidRPr="007D6E0E">
              <w:t>reduction in take up on renewal</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28" w14:textId="77777777" w:rsidR="00C01C52" w:rsidRPr="007D6E0E" w:rsidRDefault="00F60FAA" w:rsidP="00C01C52">
            <w:pPr>
              <w:jc w:val="right"/>
              <w:rPr>
                <w:szCs w:val="22"/>
              </w:rPr>
            </w:pPr>
            <w:r>
              <w:rPr>
                <w:szCs w:val="22"/>
              </w:rPr>
              <w:t>32</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29"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2A" w14:textId="77777777" w:rsidR="00C01C52" w:rsidRPr="007D6E0E" w:rsidRDefault="00F60FAA" w:rsidP="00C01C52">
            <w:pPr>
              <w:jc w:val="right"/>
            </w:pPr>
          </w:p>
        </w:tc>
      </w:tr>
      <w:tr w:rsidR="002B7C48" w14:paraId="533BD330"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2C" w14:textId="77777777" w:rsidR="00C01C52" w:rsidRPr="007D6E0E" w:rsidRDefault="00F60FAA" w:rsidP="00C01C52">
            <w:pPr>
              <w:jc w:val="left"/>
            </w:pPr>
            <w:r w:rsidRPr="007D6E0E">
              <w:t xml:space="preserve">Waste Contract – inflation and cost recovery adjustments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2D" w14:textId="77777777" w:rsidR="00C01C52" w:rsidRPr="007D6E0E" w:rsidRDefault="00F60FAA" w:rsidP="00C01C52">
            <w:pPr>
              <w:jc w:val="right"/>
              <w:rPr>
                <w:szCs w:val="22"/>
              </w:rPr>
            </w:pPr>
            <w:r>
              <w:rPr>
                <w:szCs w:val="22"/>
              </w:rPr>
              <w:t>108</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2E"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2F" w14:textId="77777777" w:rsidR="00C01C52" w:rsidRPr="007D6E0E" w:rsidRDefault="00F60FAA" w:rsidP="00C01C52">
            <w:pPr>
              <w:jc w:val="right"/>
            </w:pPr>
          </w:p>
        </w:tc>
      </w:tr>
      <w:tr w:rsidR="002B7C48" w14:paraId="533BD335"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31" w14:textId="77777777" w:rsidR="00C01C52" w:rsidRPr="007D6E0E" w:rsidRDefault="00F60FAA" w:rsidP="00C01C52">
            <w:pPr>
              <w:jc w:val="left"/>
            </w:pPr>
            <w:r w:rsidRPr="007D6E0E">
              <w:t>Vehicle hire additional costs – RCV undergoing repairs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32" w14:textId="77777777" w:rsidR="00C01C52" w:rsidRPr="007D6E0E" w:rsidRDefault="00F60FAA" w:rsidP="00C01C52">
            <w:pPr>
              <w:jc w:val="right"/>
              <w:rPr>
                <w:szCs w:val="22"/>
              </w:rPr>
            </w:pPr>
            <w:r>
              <w:rPr>
                <w:szCs w:val="22"/>
              </w:rPr>
              <w:t>24</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33"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34" w14:textId="77777777" w:rsidR="00C01C52" w:rsidRPr="007D6E0E" w:rsidRDefault="00F60FAA" w:rsidP="00C01C52">
            <w:pPr>
              <w:jc w:val="right"/>
            </w:pPr>
          </w:p>
        </w:tc>
      </w:tr>
      <w:tr w:rsidR="002B7C48" w14:paraId="533BD33A"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36" w14:textId="77777777" w:rsidR="00C01C52" w:rsidRPr="007D6E0E" w:rsidRDefault="00F60FAA" w:rsidP="00C01C52">
            <w:pPr>
              <w:jc w:val="left"/>
            </w:pPr>
            <w:r w:rsidRPr="007D6E0E">
              <w:t>Moss Side depot – Vehicle maintenance contract net additional income</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37" w14:textId="77777777" w:rsidR="00C01C52" w:rsidRPr="007D6E0E" w:rsidRDefault="00F60FAA" w:rsidP="00C01C52">
            <w:pPr>
              <w:jc w:val="right"/>
              <w:rPr>
                <w:szCs w:val="22"/>
              </w:rPr>
            </w:pPr>
            <w:r>
              <w:rPr>
                <w:szCs w:val="22"/>
              </w:rPr>
              <w:t>(59)</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38"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39" w14:textId="77777777" w:rsidR="00C01C52" w:rsidRPr="007D6E0E" w:rsidRDefault="00F60FAA" w:rsidP="00C01C52">
            <w:pPr>
              <w:jc w:val="right"/>
            </w:pPr>
          </w:p>
        </w:tc>
      </w:tr>
      <w:tr w:rsidR="002B7C48" w14:paraId="533BD33F"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3B" w14:textId="77777777" w:rsidR="00C01C52" w:rsidRPr="007D6E0E" w:rsidRDefault="00F60FAA" w:rsidP="00C01C52">
            <w:pPr>
              <w:jc w:val="left"/>
            </w:pPr>
            <w:r w:rsidRPr="007D6E0E">
              <w:t xml:space="preserve">Moss Side </w:t>
            </w:r>
            <w:r w:rsidRPr="007D6E0E">
              <w:t>depot – metered water</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3C" w14:textId="77777777" w:rsidR="00C01C52" w:rsidRPr="007D6E0E" w:rsidRDefault="00F60FAA" w:rsidP="00C01C52">
            <w:pPr>
              <w:jc w:val="right"/>
              <w:rPr>
                <w:szCs w:val="22"/>
              </w:rPr>
            </w:pPr>
            <w:r>
              <w:rPr>
                <w:szCs w:val="22"/>
              </w:rPr>
              <w:t>11</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3D"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3E" w14:textId="77777777" w:rsidR="00C01C52" w:rsidRPr="007D6E0E" w:rsidRDefault="00F60FAA" w:rsidP="00C01C52">
            <w:pPr>
              <w:jc w:val="right"/>
            </w:pPr>
          </w:p>
        </w:tc>
      </w:tr>
      <w:tr w:rsidR="002B7C48" w14:paraId="533BD344"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40" w14:textId="77777777" w:rsidR="00C01C52" w:rsidRPr="007D6E0E" w:rsidRDefault="00F60FAA" w:rsidP="00C01C52">
            <w:pPr>
              <w:jc w:val="left"/>
            </w:pPr>
            <w:r>
              <w:t>Worden Hall professional fees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41" w14:textId="77777777" w:rsidR="00C01C52" w:rsidRPr="007D6E0E" w:rsidRDefault="00F60FAA" w:rsidP="00C01C52">
            <w:pPr>
              <w:jc w:val="right"/>
              <w:rPr>
                <w:szCs w:val="22"/>
              </w:rPr>
            </w:pPr>
            <w:r>
              <w:rPr>
                <w:szCs w:val="22"/>
              </w:rPr>
              <w:t>19</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42"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43" w14:textId="77777777" w:rsidR="00C01C52" w:rsidRPr="007D6E0E" w:rsidRDefault="00F60FAA" w:rsidP="00C01C52">
            <w:pPr>
              <w:jc w:val="right"/>
            </w:pPr>
          </w:p>
        </w:tc>
      </w:tr>
      <w:tr w:rsidR="002B7C48" w14:paraId="533BD349"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45" w14:textId="77777777" w:rsidR="00C01C52" w:rsidRDefault="00F60FAA" w:rsidP="00C01C52">
            <w:pPr>
              <w:jc w:val="left"/>
            </w:pPr>
            <w:r>
              <w:t xml:space="preserve">Pest Control income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46" w14:textId="77777777" w:rsidR="00C01C52" w:rsidRDefault="00F60FAA" w:rsidP="00C01C52">
            <w:pPr>
              <w:jc w:val="right"/>
              <w:rPr>
                <w:szCs w:val="22"/>
              </w:rPr>
            </w:pPr>
            <w:r>
              <w:rPr>
                <w:szCs w:val="22"/>
              </w:rPr>
              <w:t>(10)</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47"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48" w14:textId="77777777" w:rsidR="00C01C52" w:rsidRPr="007D6E0E" w:rsidRDefault="00F60FAA" w:rsidP="00C01C52">
            <w:pPr>
              <w:jc w:val="right"/>
            </w:pPr>
          </w:p>
        </w:tc>
      </w:tr>
      <w:tr w:rsidR="002B7C48" w14:paraId="533BD34E"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4A" w14:textId="77777777" w:rsidR="00C01C52" w:rsidRPr="00F03A86" w:rsidRDefault="00F60FAA" w:rsidP="00C01C52">
            <w:pPr>
              <w:jc w:val="left"/>
            </w:pPr>
            <w:r w:rsidRPr="00F03A86">
              <w:t>Other</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4B" w14:textId="77777777" w:rsidR="00C01C52" w:rsidRPr="00F03A86" w:rsidRDefault="00F60FAA" w:rsidP="00C01C52">
            <w:pPr>
              <w:jc w:val="right"/>
              <w:rPr>
                <w:szCs w:val="22"/>
              </w:rPr>
            </w:pPr>
            <w:r>
              <w:rPr>
                <w:szCs w:val="22"/>
              </w:rPr>
              <w:t>1</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4C"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4D" w14:textId="77777777" w:rsidR="00C01C52" w:rsidRPr="007D6E0E" w:rsidRDefault="00F60FAA" w:rsidP="00C01C52">
            <w:pPr>
              <w:jc w:val="right"/>
            </w:pPr>
          </w:p>
        </w:tc>
      </w:tr>
      <w:tr w:rsidR="002B7C48" w14:paraId="533BD353"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4F" w14:textId="77777777" w:rsidR="00C01C52" w:rsidRPr="007D6E0E" w:rsidRDefault="00F60FAA" w:rsidP="00C01C52">
            <w:pPr>
              <w:rPr>
                <w:b/>
              </w:rPr>
            </w:pPr>
            <w:r w:rsidRPr="007D6E0E">
              <w:rPr>
                <w:b/>
              </w:rPr>
              <w:t>Planning and Property</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50" w14:textId="77777777" w:rsidR="00C01C52" w:rsidRPr="007D6E0E" w:rsidRDefault="00F60FAA" w:rsidP="00C01C52">
            <w:pPr>
              <w:jc w:val="right"/>
              <w:rPr>
                <w:szCs w:val="22"/>
              </w:rPr>
            </w:pPr>
          </w:p>
        </w:tc>
        <w:tc>
          <w:tcPr>
            <w:tcW w:w="425" w:type="dxa"/>
            <w:tcBorders>
              <w:top w:val="nil"/>
              <w:left w:val="single" w:sz="4" w:space="0" w:color="BFBFBF" w:themeColor="background1" w:themeShade="BF"/>
              <w:bottom w:val="nil"/>
              <w:right w:val="nil"/>
            </w:tcBorders>
            <w:tcMar>
              <w:left w:w="57" w:type="dxa"/>
              <w:right w:w="57" w:type="dxa"/>
            </w:tcMar>
          </w:tcPr>
          <w:p w14:paraId="533BD351" w14:textId="77777777" w:rsidR="00C01C52" w:rsidRPr="007D6E0E" w:rsidRDefault="00F60FAA" w:rsidP="00C01C52">
            <w:pPr>
              <w:jc w:val="right"/>
            </w:pPr>
          </w:p>
        </w:tc>
        <w:tc>
          <w:tcPr>
            <w:tcW w:w="1135" w:type="dxa"/>
            <w:tcBorders>
              <w:top w:val="nil"/>
              <w:left w:val="nil"/>
              <w:bottom w:val="nil"/>
            </w:tcBorders>
            <w:tcMar>
              <w:left w:w="57" w:type="dxa"/>
              <w:right w:w="284" w:type="dxa"/>
            </w:tcMar>
            <w:vAlign w:val="center"/>
          </w:tcPr>
          <w:p w14:paraId="533BD352" w14:textId="77777777" w:rsidR="00C01C52" w:rsidRPr="007D6E0E" w:rsidRDefault="00F60FAA" w:rsidP="00C01C52">
            <w:pPr>
              <w:jc w:val="right"/>
            </w:pPr>
          </w:p>
        </w:tc>
      </w:tr>
      <w:tr w:rsidR="002B7C48" w14:paraId="533BD358"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54" w14:textId="77777777" w:rsidR="00C01C52" w:rsidRPr="007D6E0E" w:rsidRDefault="00F60FAA" w:rsidP="00C01C52">
            <w:r w:rsidRPr="007D6E0E">
              <w:t>Staffing Variances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55" w14:textId="77777777" w:rsidR="00C01C52" w:rsidRPr="007D6E0E" w:rsidRDefault="00F60FAA" w:rsidP="00C01C52">
            <w:pPr>
              <w:jc w:val="right"/>
              <w:rPr>
                <w:szCs w:val="22"/>
              </w:rPr>
            </w:pPr>
            <w:r>
              <w:rPr>
                <w:szCs w:val="22"/>
              </w:rPr>
              <w:t>(156)</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56" w14:textId="77777777" w:rsidR="00C01C52" w:rsidRPr="007D6E0E" w:rsidRDefault="00F60FAA" w:rsidP="00C01C52">
            <w:pPr>
              <w:jc w:val="right"/>
            </w:pPr>
          </w:p>
        </w:tc>
        <w:tc>
          <w:tcPr>
            <w:tcW w:w="1135" w:type="dxa"/>
            <w:vMerge w:val="restart"/>
            <w:tcBorders>
              <w:top w:val="nil"/>
              <w:left w:val="single" w:sz="4" w:space="0" w:color="auto"/>
              <w:bottom w:val="nil"/>
            </w:tcBorders>
            <w:tcMar>
              <w:left w:w="57" w:type="dxa"/>
              <w:right w:w="284" w:type="dxa"/>
            </w:tcMar>
            <w:vAlign w:val="center"/>
          </w:tcPr>
          <w:p w14:paraId="533BD357" w14:textId="77777777" w:rsidR="00C01C52" w:rsidRPr="007D6E0E" w:rsidRDefault="00F60FAA" w:rsidP="00C01C52">
            <w:pPr>
              <w:jc w:val="right"/>
            </w:pPr>
            <w:r>
              <w:t>(254)</w:t>
            </w:r>
          </w:p>
        </w:tc>
      </w:tr>
      <w:tr w:rsidR="002B7C48" w14:paraId="533BD35D"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59" w14:textId="77777777" w:rsidR="00C01C52" w:rsidRPr="007D6E0E" w:rsidRDefault="00F60FAA" w:rsidP="00C01C52">
            <w:r w:rsidRPr="007D6E0E">
              <w:t>Investment Property rental income</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5A" w14:textId="77777777" w:rsidR="00C01C52" w:rsidRPr="007D6E0E" w:rsidRDefault="00F60FAA" w:rsidP="00C01C52">
            <w:pPr>
              <w:jc w:val="right"/>
              <w:rPr>
                <w:szCs w:val="22"/>
              </w:rPr>
            </w:pPr>
            <w:r>
              <w:rPr>
                <w:szCs w:val="22"/>
              </w:rPr>
              <w:t>24</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5B"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5C" w14:textId="77777777" w:rsidR="00C01C52" w:rsidRPr="007D6E0E" w:rsidRDefault="00F60FAA" w:rsidP="00C01C52">
            <w:pPr>
              <w:jc w:val="right"/>
            </w:pPr>
          </w:p>
        </w:tc>
      </w:tr>
      <w:tr w:rsidR="002B7C48" w14:paraId="533BD362"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5E" w14:textId="77777777" w:rsidR="00C01C52" w:rsidRPr="007D6E0E" w:rsidRDefault="00F60FAA" w:rsidP="00C01C52">
            <w:r w:rsidRPr="007D6E0E">
              <w:t>Planning Pre-application fees reduction</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5F" w14:textId="77777777" w:rsidR="00C01C52" w:rsidRPr="007D6E0E" w:rsidRDefault="00F60FAA" w:rsidP="00C01C52">
            <w:pPr>
              <w:jc w:val="right"/>
              <w:rPr>
                <w:szCs w:val="22"/>
              </w:rPr>
            </w:pPr>
            <w:r>
              <w:rPr>
                <w:szCs w:val="22"/>
              </w:rPr>
              <w:t>32</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60"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61" w14:textId="77777777" w:rsidR="00C01C52" w:rsidRPr="007D6E0E" w:rsidRDefault="00F60FAA" w:rsidP="00C01C52">
            <w:pPr>
              <w:jc w:val="right"/>
            </w:pPr>
          </w:p>
        </w:tc>
      </w:tr>
      <w:tr w:rsidR="002B7C48" w14:paraId="533BD367"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63" w14:textId="77777777" w:rsidR="00C01C52" w:rsidRPr="0061564B" w:rsidRDefault="00F60FAA" w:rsidP="00C01C52">
            <w:r w:rsidRPr="0061564B">
              <w:t>Town Deal Capacity Funding</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64" w14:textId="77777777" w:rsidR="00C01C52" w:rsidRPr="007D6E0E" w:rsidRDefault="00F60FAA" w:rsidP="00C01C52">
            <w:pPr>
              <w:jc w:val="right"/>
              <w:rPr>
                <w:szCs w:val="22"/>
              </w:rPr>
            </w:pPr>
            <w:r>
              <w:rPr>
                <w:szCs w:val="22"/>
              </w:rPr>
              <w:t>(162)</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65"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66" w14:textId="77777777" w:rsidR="00C01C52" w:rsidRPr="007D6E0E" w:rsidRDefault="00F60FAA" w:rsidP="00C01C52">
            <w:pPr>
              <w:jc w:val="right"/>
            </w:pPr>
          </w:p>
        </w:tc>
      </w:tr>
      <w:tr w:rsidR="002B7C48" w14:paraId="533BD36C"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68" w14:textId="77777777" w:rsidR="00C01C52" w:rsidRPr="007D6E0E" w:rsidRDefault="00F60FAA" w:rsidP="00C01C52">
            <w:r w:rsidRPr="007D6E0E">
              <w:t>Other</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69" w14:textId="77777777" w:rsidR="00C01C52" w:rsidRPr="007D6E0E" w:rsidRDefault="00F60FAA" w:rsidP="00C01C52">
            <w:pPr>
              <w:jc w:val="right"/>
              <w:rPr>
                <w:szCs w:val="22"/>
              </w:rPr>
            </w:pPr>
            <w:r>
              <w:rPr>
                <w:szCs w:val="22"/>
              </w:rPr>
              <w:t>8</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6A"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6B" w14:textId="77777777" w:rsidR="00C01C52" w:rsidRPr="007D6E0E" w:rsidRDefault="00F60FAA" w:rsidP="00C01C52">
            <w:pPr>
              <w:jc w:val="right"/>
            </w:pPr>
          </w:p>
        </w:tc>
      </w:tr>
      <w:tr w:rsidR="002B7C48" w14:paraId="533BD371"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6D" w14:textId="77777777" w:rsidR="00C01C52" w:rsidRPr="007D6E0E" w:rsidRDefault="00F60FAA" w:rsidP="00C01C52">
            <w:pPr>
              <w:rPr>
                <w:b/>
              </w:rPr>
            </w:pPr>
            <w:r w:rsidRPr="007D6E0E">
              <w:rPr>
                <w:b/>
              </w:rPr>
              <w:t>Finance and Assurance</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6E" w14:textId="77777777" w:rsidR="00C01C52" w:rsidRPr="007D6E0E" w:rsidRDefault="00F60FAA" w:rsidP="00C01C52">
            <w:pPr>
              <w:jc w:val="right"/>
              <w:rPr>
                <w:szCs w:val="22"/>
              </w:rPr>
            </w:pPr>
          </w:p>
        </w:tc>
        <w:tc>
          <w:tcPr>
            <w:tcW w:w="425" w:type="dxa"/>
            <w:tcBorders>
              <w:top w:val="nil"/>
              <w:left w:val="single" w:sz="4" w:space="0" w:color="BFBFBF" w:themeColor="background1" w:themeShade="BF"/>
              <w:bottom w:val="nil"/>
              <w:right w:val="nil"/>
            </w:tcBorders>
            <w:tcMar>
              <w:left w:w="57" w:type="dxa"/>
              <w:right w:w="57" w:type="dxa"/>
            </w:tcMar>
          </w:tcPr>
          <w:p w14:paraId="533BD36F" w14:textId="77777777" w:rsidR="00C01C52" w:rsidRPr="007D6E0E" w:rsidRDefault="00F60FAA" w:rsidP="00C01C52">
            <w:pPr>
              <w:jc w:val="right"/>
            </w:pPr>
          </w:p>
        </w:tc>
        <w:tc>
          <w:tcPr>
            <w:tcW w:w="1135" w:type="dxa"/>
            <w:tcBorders>
              <w:top w:val="nil"/>
              <w:left w:val="nil"/>
              <w:bottom w:val="nil"/>
              <w:right w:val="single" w:sz="4" w:space="0" w:color="auto"/>
            </w:tcBorders>
            <w:tcMar>
              <w:left w:w="57" w:type="dxa"/>
              <w:right w:w="284" w:type="dxa"/>
            </w:tcMar>
            <w:vAlign w:val="center"/>
          </w:tcPr>
          <w:p w14:paraId="533BD370" w14:textId="77777777" w:rsidR="00C01C52" w:rsidRPr="007D6E0E" w:rsidRDefault="00F60FAA" w:rsidP="00C01C52">
            <w:pPr>
              <w:jc w:val="right"/>
            </w:pPr>
          </w:p>
        </w:tc>
      </w:tr>
      <w:tr w:rsidR="002B7C48" w14:paraId="533BD37C"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72" w14:textId="77777777" w:rsidR="00C01C52" w:rsidRPr="00B11EE8" w:rsidRDefault="00F60FAA" w:rsidP="00C01C52">
            <w:r w:rsidRPr="00B11EE8">
              <w:t xml:space="preserve">Staffing Variances / agency costs </w:t>
            </w:r>
          </w:p>
          <w:p w14:paraId="533BD373" w14:textId="77777777" w:rsidR="00C01C52" w:rsidRPr="00B11EE8" w:rsidRDefault="00F60FAA" w:rsidP="00C01C52">
            <w:r w:rsidRPr="00B11EE8">
              <w:t>Audit fees</w:t>
            </w:r>
          </w:p>
          <w:p w14:paraId="533BD374" w14:textId="77777777" w:rsidR="00C01C52" w:rsidRPr="00B11EE8" w:rsidRDefault="00F60FAA" w:rsidP="00C01C52">
            <w:r w:rsidRPr="00B11EE8">
              <w:t xml:space="preserve">Insurance </w:t>
            </w:r>
          </w:p>
          <w:p w14:paraId="533BD375" w14:textId="77777777" w:rsidR="00C01C52" w:rsidRPr="00B11EE8" w:rsidRDefault="00F60FAA" w:rsidP="00C01C52">
            <w:r w:rsidRPr="00B11EE8">
              <w:t>Other</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tcPr>
          <w:p w14:paraId="533BD376" w14:textId="77777777" w:rsidR="00C01C52" w:rsidRPr="00B11EE8" w:rsidRDefault="00F60FAA" w:rsidP="00C01C52">
            <w:pPr>
              <w:jc w:val="right"/>
              <w:rPr>
                <w:szCs w:val="22"/>
              </w:rPr>
            </w:pPr>
            <w:r>
              <w:rPr>
                <w:szCs w:val="22"/>
              </w:rPr>
              <w:t>59</w:t>
            </w:r>
          </w:p>
          <w:p w14:paraId="533BD377" w14:textId="77777777" w:rsidR="00C01C52" w:rsidRPr="00B11EE8" w:rsidRDefault="00F60FAA" w:rsidP="00C01C52">
            <w:pPr>
              <w:jc w:val="right"/>
              <w:rPr>
                <w:szCs w:val="22"/>
              </w:rPr>
            </w:pPr>
            <w:r w:rsidRPr="00B11EE8">
              <w:rPr>
                <w:szCs w:val="22"/>
              </w:rPr>
              <w:t>10</w:t>
            </w:r>
          </w:p>
          <w:p w14:paraId="533BD378" w14:textId="77777777" w:rsidR="00C01C52" w:rsidRPr="00B11EE8" w:rsidRDefault="00F60FAA" w:rsidP="00C01C52">
            <w:pPr>
              <w:jc w:val="right"/>
              <w:rPr>
                <w:szCs w:val="22"/>
              </w:rPr>
            </w:pPr>
            <w:r w:rsidRPr="00B11EE8">
              <w:rPr>
                <w:szCs w:val="22"/>
              </w:rPr>
              <w:t>6</w:t>
            </w:r>
          </w:p>
          <w:p w14:paraId="533BD379" w14:textId="77777777" w:rsidR="00C01C52" w:rsidRPr="00B11EE8" w:rsidRDefault="00F60FAA" w:rsidP="00C01C52">
            <w:pPr>
              <w:jc w:val="right"/>
              <w:rPr>
                <w:szCs w:val="22"/>
              </w:rPr>
            </w:pPr>
            <w:r>
              <w:rPr>
                <w:szCs w:val="22"/>
              </w:rPr>
              <w:t>2</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7A" w14:textId="77777777" w:rsidR="00C01C52" w:rsidRPr="00B11EE8"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7B" w14:textId="77777777" w:rsidR="00C01C52" w:rsidRPr="007D6E0E" w:rsidRDefault="00F60FAA" w:rsidP="00C01C52">
            <w:pPr>
              <w:jc w:val="right"/>
            </w:pPr>
            <w:r w:rsidRPr="00B11EE8">
              <w:t>77</w:t>
            </w:r>
          </w:p>
        </w:tc>
      </w:tr>
      <w:tr w:rsidR="002B7C48" w14:paraId="533BD381"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7D" w14:textId="77777777" w:rsidR="00C01C52" w:rsidRPr="007D6E0E" w:rsidRDefault="00F60FAA" w:rsidP="00C01C52">
            <w:pPr>
              <w:rPr>
                <w:b/>
              </w:rPr>
            </w:pPr>
            <w:r w:rsidRPr="007D6E0E">
              <w:rPr>
                <w:b/>
              </w:rPr>
              <w:t>Legal, HR &amp; Democratic Services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7E" w14:textId="77777777" w:rsidR="00C01C52" w:rsidRPr="007D6E0E" w:rsidRDefault="00F60FAA" w:rsidP="00C01C52">
            <w:pPr>
              <w:jc w:val="right"/>
              <w:rPr>
                <w:szCs w:val="22"/>
              </w:rPr>
            </w:pPr>
          </w:p>
        </w:tc>
        <w:tc>
          <w:tcPr>
            <w:tcW w:w="425" w:type="dxa"/>
            <w:tcBorders>
              <w:top w:val="nil"/>
              <w:left w:val="single" w:sz="4" w:space="0" w:color="BFBFBF" w:themeColor="background1" w:themeShade="BF"/>
              <w:bottom w:val="nil"/>
              <w:right w:val="nil"/>
            </w:tcBorders>
            <w:tcMar>
              <w:left w:w="57" w:type="dxa"/>
              <w:right w:w="57" w:type="dxa"/>
            </w:tcMar>
          </w:tcPr>
          <w:p w14:paraId="533BD37F" w14:textId="77777777" w:rsidR="00C01C52" w:rsidRPr="007D6E0E" w:rsidRDefault="00F60FAA" w:rsidP="00C01C52">
            <w:pPr>
              <w:jc w:val="right"/>
            </w:pPr>
          </w:p>
        </w:tc>
        <w:tc>
          <w:tcPr>
            <w:tcW w:w="1135" w:type="dxa"/>
            <w:tcBorders>
              <w:top w:val="nil"/>
              <w:left w:val="nil"/>
              <w:bottom w:val="nil"/>
            </w:tcBorders>
            <w:tcMar>
              <w:left w:w="57" w:type="dxa"/>
              <w:right w:w="284" w:type="dxa"/>
            </w:tcMar>
            <w:vAlign w:val="center"/>
          </w:tcPr>
          <w:p w14:paraId="533BD380" w14:textId="77777777" w:rsidR="00C01C52" w:rsidRPr="007D6E0E" w:rsidRDefault="00F60FAA" w:rsidP="00C01C52">
            <w:pPr>
              <w:jc w:val="right"/>
            </w:pPr>
          </w:p>
        </w:tc>
      </w:tr>
      <w:tr w:rsidR="002B7C48" w14:paraId="533BD388" w14:textId="77777777" w:rsidTr="00C01C52">
        <w:trPr>
          <w:trHeight w:val="393"/>
        </w:trPr>
        <w:tc>
          <w:tcPr>
            <w:tcW w:w="5954" w:type="dxa"/>
            <w:tcBorders>
              <w:top w:val="nil"/>
              <w:bottom w:val="nil"/>
              <w:right w:val="single" w:sz="4" w:space="0" w:color="BFBFBF" w:themeColor="background1" w:themeShade="BF"/>
            </w:tcBorders>
            <w:tcMar>
              <w:left w:w="57" w:type="dxa"/>
              <w:right w:w="57" w:type="dxa"/>
            </w:tcMar>
            <w:vAlign w:val="center"/>
          </w:tcPr>
          <w:p w14:paraId="533BD382" w14:textId="77777777" w:rsidR="00C01C52" w:rsidRDefault="00F60FAA" w:rsidP="00C01C52">
            <w:pPr>
              <w:jc w:val="left"/>
            </w:pPr>
            <w:r w:rsidRPr="007D6E0E">
              <w:t>Staffing Variances</w:t>
            </w:r>
          </w:p>
          <w:p w14:paraId="533BD383" w14:textId="77777777" w:rsidR="00C01C52" w:rsidRPr="007D6E0E" w:rsidRDefault="00F60FAA" w:rsidP="00C01C52">
            <w:pPr>
              <w:jc w:val="left"/>
            </w:pPr>
            <w:r>
              <w:t>Elections/bi-election</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84" w14:textId="77777777" w:rsidR="00C01C52" w:rsidRDefault="00F60FAA" w:rsidP="00C01C52">
            <w:pPr>
              <w:jc w:val="right"/>
              <w:rPr>
                <w:szCs w:val="22"/>
              </w:rPr>
            </w:pPr>
            <w:r>
              <w:rPr>
                <w:szCs w:val="22"/>
              </w:rPr>
              <w:t>(111)</w:t>
            </w:r>
          </w:p>
          <w:p w14:paraId="533BD385" w14:textId="77777777" w:rsidR="00C01C52" w:rsidRPr="007D6E0E" w:rsidRDefault="00F60FAA" w:rsidP="00C01C52">
            <w:pPr>
              <w:jc w:val="right"/>
              <w:rPr>
                <w:szCs w:val="22"/>
              </w:rPr>
            </w:pPr>
            <w:r>
              <w:rPr>
                <w:szCs w:val="22"/>
              </w:rPr>
              <w:t>18</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86" w14:textId="77777777" w:rsidR="00C01C52" w:rsidRPr="007D6E0E" w:rsidRDefault="00F60FAA" w:rsidP="00C01C52">
            <w:pPr>
              <w:jc w:val="right"/>
            </w:pPr>
          </w:p>
        </w:tc>
        <w:tc>
          <w:tcPr>
            <w:tcW w:w="1135" w:type="dxa"/>
            <w:vMerge w:val="restart"/>
            <w:tcBorders>
              <w:top w:val="nil"/>
              <w:left w:val="single" w:sz="4" w:space="0" w:color="auto"/>
              <w:bottom w:val="nil"/>
            </w:tcBorders>
            <w:tcMar>
              <w:left w:w="57" w:type="dxa"/>
              <w:right w:w="284" w:type="dxa"/>
            </w:tcMar>
            <w:vAlign w:val="center"/>
          </w:tcPr>
          <w:p w14:paraId="533BD387" w14:textId="77777777" w:rsidR="00C01C52" w:rsidRPr="007D6E0E" w:rsidRDefault="00F60FAA" w:rsidP="00C01C52">
            <w:pPr>
              <w:jc w:val="right"/>
            </w:pPr>
            <w:r>
              <w:t>(39)</w:t>
            </w:r>
          </w:p>
        </w:tc>
      </w:tr>
      <w:tr w:rsidR="002B7C48" w14:paraId="533BD38D" w14:textId="77777777" w:rsidTr="00C01C52">
        <w:trPr>
          <w:trHeight w:val="144"/>
        </w:trPr>
        <w:tc>
          <w:tcPr>
            <w:tcW w:w="5954" w:type="dxa"/>
            <w:tcBorders>
              <w:top w:val="nil"/>
              <w:bottom w:val="nil"/>
              <w:right w:val="single" w:sz="4" w:space="0" w:color="BFBFBF" w:themeColor="background1" w:themeShade="BF"/>
            </w:tcBorders>
            <w:tcMar>
              <w:left w:w="57" w:type="dxa"/>
              <w:right w:w="57" w:type="dxa"/>
            </w:tcMar>
            <w:vAlign w:val="center"/>
          </w:tcPr>
          <w:p w14:paraId="533BD389" w14:textId="77777777" w:rsidR="00C01C52" w:rsidRPr="007D6E0E" w:rsidRDefault="00F60FAA" w:rsidP="00C01C52">
            <w:pPr>
              <w:jc w:val="left"/>
            </w:pPr>
            <w:r w:rsidRPr="007D6E0E">
              <w:t xml:space="preserve">Legal </w:t>
            </w:r>
            <w:r w:rsidRPr="007D6E0E">
              <w:t>fees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8A" w14:textId="77777777" w:rsidR="00C01C52" w:rsidRPr="007D6E0E" w:rsidRDefault="00F60FAA" w:rsidP="00C01C52">
            <w:pPr>
              <w:jc w:val="right"/>
              <w:rPr>
                <w:szCs w:val="22"/>
              </w:rPr>
            </w:pPr>
            <w:r>
              <w:rPr>
                <w:szCs w:val="22"/>
              </w:rPr>
              <w:t>50</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8B"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8C" w14:textId="77777777" w:rsidR="00C01C52" w:rsidRPr="007D6E0E" w:rsidRDefault="00F60FAA" w:rsidP="00C01C52">
            <w:pPr>
              <w:jc w:val="right"/>
            </w:pPr>
          </w:p>
        </w:tc>
      </w:tr>
      <w:tr w:rsidR="002B7C48" w14:paraId="533BD392"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8E" w14:textId="77777777" w:rsidR="00C01C52" w:rsidRPr="007D6E0E" w:rsidRDefault="00F60FAA" w:rsidP="00C01C52">
            <w:pPr>
              <w:jc w:val="left"/>
            </w:pPr>
            <w:r w:rsidRPr="007D6E0E">
              <w:t xml:space="preserve">Forecast reduction in Land Charges income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8F" w14:textId="77777777" w:rsidR="00C01C52" w:rsidRPr="007D6E0E" w:rsidRDefault="00F60FAA" w:rsidP="00C01C52">
            <w:pPr>
              <w:jc w:val="right"/>
              <w:rPr>
                <w:szCs w:val="22"/>
              </w:rPr>
            </w:pPr>
            <w:r>
              <w:rPr>
                <w:szCs w:val="22"/>
              </w:rPr>
              <w:t>20</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90"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91" w14:textId="77777777" w:rsidR="00C01C52" w:rsidRPr="007D6E0E" w:rsidRDefault="00F60FAA" w:rsidP="00C01C52">
            <w:pPr>
              <w:jc w:val="right"/>
            </w:pPr>
          </w:p>
        </w:tc>
      </w:tr>
      <w:tr w:rsidR="002B7C48" w14:paraId="533BD397"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93" w14:textId="77777777" w:rsidR="00C01C52" w:rsidRPr="007D6E0E" w:rsidRDefault="00F60FAA" w:rsidP="00C01C52">
            <w:pPr>
              <w:jc w:val="left"/>
            </w:pPr>
            <w:r w:rsidRPr="007D6E0E">
              <w:t xml:space="preserve">Forecast </w:t>
            </w:r>
            <w:r>
              <w:t xml:space="preserve">reduction in Taxi </w:t>
            </w:r>
            <w:r w:rsidRPr="007D6E0E">
              <w:t xml:space="preserve">Licensing </w:t>
            </w:r>
            <w:r>
              <w:t xml:space="preserve">costs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94" w14:textId="77777777" w:rsidR="00C01C52" w:rsidRPr="007D6E0E" w:rsidRDefault="00F60FAA" w:rsidP="00C01C52">
            <w:pPr>
              <w:jc w:val="right"/>
              <w:rPr>
                <w:szCs w:val="22"/>
              </w:rPr>
            </w:pPr>
            <w:r>
              <w:rPr>
                <w:szCs w:val="22"/>
              </w:rPr>
              <w:t>(5)</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95" w14:textId="77777777" w:rsidR="00C01C52" w:rsidRPr="007D6E0E" w:rsidRDefault="00F60FAA" w:rsidP="00C01C52">
            <w:pPr>
              <w:jc w:val="right"/>
            </w:pPr>
          </w:p>
        </w:tc>
        <w:tc>
          <w:tcPr>
            <w:tcW w:w="1135" w:type="dxa"/>
            <w:vMerge/>
            <w:tcBorders>
              <w:top w:val="nil"/>
              <w:left w:val="single" w:sz="4" w:space="0" w:color="auto"/>
              <w:bottom w:val="nil"/>
            </w:tcBorders>
            <w:tcMar>
              <w:left w:w="57" w:type="dxa"/>
              <w:right w:w="284" w:type="dxa"/>
            </w:tcMar>
            <w:vAlign w:val="center"/>
          </w:tcPr>
          <w:p w14:paraId="533BD396" w14:textId="77777777" w:rsidR="00C01C52" w:rsidRPr="007D6E0E" w:rsidRDefault="00F60FAA" w:rsidP="00C01C52">
            <w:pPr>
              <w:jc w:val="right"/>
            </w:pPr>
          </w:p>
        </w:tc>
      </w:tr>
      <w:tr w:rsidR="002B7C48" w14:paraId="533BD39C"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98" w14:textId="77777777" w:rsidR="00C01C52" w:rsidRPr="007D6E0E" w:rsidRDefault="00F60FAA" w:rsidP="00C01C52">
            <w:pPr>
              <w:jc w:val="left"/>
            </w:pPr>
            <w:r w:rsidRPr="007D6E0E">
              <w:t>Other</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99" w14:textId="77777777" w:rsidR="00C01C52" w:rsidRPr="007D6E0E" w:rsidRDefault="00F60FAA" w:rsidP="00C01C52">
            <w:pPr>
              <w:jc w:val="right"/>
              <w:rPr>
                <w:szCs w:val="22"/>
              </w:rPr>
            </w:pPr>
            <w:r>
              <w:rPr>
                <w:szCs w:val="22"/>
              </w:rPr>
              <w:t>(11)</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9A"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9B" w14:textId="77777777" w:rsidR="00C01C52" w:rsidRPr="007D6E0E" w:rsidRDefault="00F60FAA" w:rsidP="00C01C52">
            <w:pPr>
              <w:jc w:val="right"/>
            </w:pPr>
          </w:p>
        </w:tc>
      </w:tr>
      <w:tr w:rsidR="002B7C48" w14:paraId="533BD3A1"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9D" w14:textId="77777777" w:rsidR="00C01C52" w:rsidRPr="007D6E0E" w:rsidRDefault="00F60FAA" w:rsidP="00C01C52">
            <w:pPr>
              <w:rPr>
                <w:b/>
              </w:rPr>
            </w:pPr>
            <w:r w:rsidRPr="007D6E0E">
              <w:rPr>
                <w:b/>
              </w:rPr>
              <w:t>Customer Experience &amp; Operations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9E" w14:textId="77777777" w:rsidR="00C01C52" w:rsidRPr="007D6E0E" w:rsidRDefault="00F60FAA" w:rsidP="00C01C52">
            <w:pPr>
              <w:jc w:val="right"/>
              <w:rPr>
                <w:szCs w:val="22"/>
              </w:rPr>
            </w:pPr>
          </w:p>
        </w:tc>
        <w:tc>
          <w:tcPr>
            <w:tcW w:w="425" w:type="dxa"/>
            <w:tcBorders>
              <w:top w:val="nil"/>
              <w:left w:val="single" w:sz="4" w:space="0" w:color="BFBFBF" w:themeColor="background1" w:themeShade="BF"/>
              <w:bottom w:val="nil"/>
              <w:right w:val="nil"/>
            </w:tcBorders>
            <w:tcMar>
              <w:left w:w="57" w:type="dxa"/>
              <w:right w:w="57" w:type="dxa"/>
            </w:tcMar>
          </w:tcPr>
          <w:p w14:paraId="533BD39F" w14:textId="77777777" w:rsidR="00C01C52" w:rsidRPr="007D6E0E" w:rsidRDefault="00F60FAA" w:rsidP="00C01C52">
            <w:pPr>
              <w:jc w:val="right"/>
            </w:pPr>
          </w:p>
        </w:tc>
        <w:tc>
          <w:tcPr>
            <w:tcW w:w="1135" w:type="dxa"/>
            <w:tcBorders>
              <w:top w:val="nil"/>
              <w:left w:val="nil"/>
              <w:bottom w:val="nil"/>
            </w:tcBorders>
            <w:tcMar>
              <w:left w:w="57" w:type="dxa"/>
              <w:right w:w="284" w:type="dxa"/>
            </w:tcMar>
            <w:vAlign w:val="center"/>
          </w:tcPr>
          <w:p w14:paraId="533BD3A0" w14:textId="77777777" w:rsidR="00C01C52" w:rsidRPr="007D6E0E" w:rsidRDefault="00F60FAA" w:rsidP="00C01C52">
            <w:pPr>
              <w:jc w:val="right"/>
            </w:pPr>
          </w:p>
        </w:tc>
      </w:tr>
      <w:tr w:rsidR="002B7C48" w14:paraId="533BD3A6"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A2" w14:textId="77777777" w:rsidR="00C01C52" w:rsidRPr="007D6E0E" w:rsidRDefault="00F60FAA" w:rsidP="00C01C52">
            <w:r w:rsidRPr="007D6E0E">
              <w:t>Staffing Variances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A3" w14:textId="77777777" w:rsidR="00C01C52" w:rsidRPr="007D6E0E" w:rsidRDefault="00F60FAA" w:rsidP="00C01C52">
            <w:pPr>
              <w:jc w:val="right"/>
            </w:pPr>
            <w:r>
              <w:t>(71)</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A4"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A5" w14:textId="77777777" w:rsidR="00C01C52" w:rsidRPr="007D6E0E" w:rsidRDefault="00F60FAA" w:rsidP="00C01C52">
            <w:pPr>
              <w:jc w:val="right"/>
            </w:pPr>
          </w:p>
        </w:tc>
      </w:tr>
      <w:tr w:rsidR="002B7C48" w14:paraId="533BD3AB"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A7" w14:textId="77777777" w:rsidR="00C01C52" w:rsidRPr="007D6E0E" w:rsidRDefault="00F60FAA" w:rsidP="00C01C52">
            <w:r>
              <w:t>Cyber security funding secured</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A8" w14:textId="77777777" w:rsidR="00C01C52" w:rsidRPr="007D6E0E" w:rsidRDefault="00F60FAA" w:rsidP="00C01C52">
            <w:pPr>
              <w:jc w:val="right"/>
            </w:pPr>
            <w:r>
              <w:t>(15)</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A9"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AA" w14:textId="77777777" w:rsidR="00C01C52" w:rsidRPr="007D6E0E" w:rsidRDefault="00F60FAA" w:rsidP="00C01C52">
            <w:pPr>
              <w:jc w:val="right"/>
            </w:pPr>
          </w:p>
        </w:tc>
      </w:tr>
      <w:tr w:rsidR="002B7C48" w14:paraId="533BD3B0"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AC" w14:textId="77777777" w:rsidR="00C01C52" w:rsidRPr="007D6E0E" w:rsidRDefault="00F60FAA" w:rsidP="00C01C52">
            <w:r w:rsidRPr="007D6E0E">
              <w:t xml:space="preserve">ICT services cost </w:t>
            </w:r>
            <w:r w:rsidRPr="007D6E0E">
              <w:t>increase</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AD" w14:textId="77777777" w:rsidR="00C01C52" w:rsidRPr="007D6E0E" w:rsidRDefault="00F60FAA" w:rsidP="00C01C52">
            <w:pPr>
              <w:jc w:val="right"/>
            </w:pPr>
            <w:r>
              <w:t>50</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AE"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AF" w14:textId="77777777" w:rsidR="00C01C52" w:rsidRPr="007D6E0E" w:rsidRDefault="00F60FAA" w:rsidP="00C01C52">
            <w:pPr>
              <w:jc w:val="right"/>
            </w:pPr>
            <w:r>
              <w:t>(32)</w:t>
            </w:r>
          </w:p>
        </w:tc>
      </w:tr>
      <w:tr w:rsidR="002B7C48" w14:paraId="533BD3B5"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B1" w14:textId="77777777" w:rsidR="00C01C52" w:rsidRPr="007D6E0E" w:rsidRDefault="00F60FAA" w:rsidP="00C01C52">
            <w:r>
              <w:t xml:space="preserve">Housing Benefits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B2" w14:textId="77777777" w:rsidR="00C01C52" w:rsidRPr="007D6E0E" w:rsidRDefault="00F60FAA" w:rsidP="00C01C52">
            <w:pPr>
              <w:jc w:val="right"/>
            </w:pPr>
            <w:r>
              <w:t>22</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B3"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B4" w14:textId="77777777" w:rsidR="00C01C52" w:rsidRPr="007D6E0E" w:rsidRDefault="00F60FAA" w:rsidP="00C01C52">
            <w:pPr>
              <w:jc w:val="right"/>
            </w:pPr>
          </w:p>
        </w:tc>
      </w:tr>
      <w:tr w:rsidR="002B7C48" w14:paraId="533BD3BA"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B6" w14:textId="77777777" w:rsidR="00C01C52" w:rsidRPr="007D6E0E" w:rsidRDefault="00F60FAA" w:rsidP="00C01C52">
            <w:r w:rsidRPr="007D6E0E">
              <w:t>Personal budgeting support underspend</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B7" w14:textId="77777777" w:rsidR="00C01C52" w:rsidRPr="007D6E0E" w:rsidRDefault="00F60FAA" w:rsidP="00C01C52">
            <w:pPr>
              <w:jc w:val="right"/>
            </w:pPr>
            <w:r>
              <w:t>(30)</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B8"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B9" w14:textId="77777777" w:rsidR="00C01C52" w:rsidRPr="007D6E0E" w:rsidRDefault="00F60FAA" w:rsidP="00C01C52">
            <w:pPr>
              <w:jc w:val="right"/>
            </w:pPr>
          </w:p>
        </w:tc>
      </w:tr>
      <w:tr w:rsidR="002B7C48" w14:paraId="533BD3BF"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BB" w14:textId="77777777" w:rsidR="00C01C52" w:rsidRPr="007D6E0E" w:rsidRDefault="00F60FAA" w:rsidP="00C01C52">
            <w:r>
              <w:t xml:space="preserve">Postage costs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BC" w14:textId="77777777" w:rsidR="00C01C52" w:rsidRDefault="00F60FAA" w:rsidP="00C01C52">
            <w:pPr>
              <w:jc w:val="right"/>
            </w:pPr>
            <w:r>
              <w:t>5</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BD"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BE" w14:textId="77777777" w:rsidR="00C01C52" w:rsidRPr="007D6E0E" w:rsidRDefault="00F60FAA" w:rsidP="00C01C52">
            <w:pPr>
              <w:jc w:val="right"/>
            </w:pPr>
          </w:p>
        </w:tc>
      </w:tr>
      <w:tr w:rsidR="002B7C48" w14:paraId="533BD3C4"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C0" w14:textId="77777777" w:rsidR="00C01C52" w:rsidRPr="007D6E0E" w:rsidRDefault="00F60FAA" w:rsidP="00C01C52">
            <w:r w:rsidRPr="007D6E0E">
              <w:t>Other</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C1" w14:textId="77777777" w:rsidR="00C01C52" w:rsidRPr="007D6E0E" w:rsidRDefault="00F60FAA" w:rsidP="00C01C52">
            <w:pPr>
              <w:jc w:val="right"/>
            </w:pPr>
            <w:r>
              <w:t>7</w:t>
            </w:r>
          </w:p>
        </w:tc>
        <w:tc>
          <w:tcPr>
            <w:tcW w:w="425" w:type="dxa"/>
            <w:tcBorders>
              <w:top w:val="nil"/>
              <w:left w:val="single" w:sz="4" w:space="0" w:color="BFBFBF" w:themeColor="background1" w:themeShade="BF"/>
              <w:bottom w:val="nil"/>
              <w:right w:val="single" w:sz="4" w:space="0" w:color="auto"/>
            </w:tcBorders>
            <w:tcMar>
              <w:left w:w="57" w:type="dxa"/>
              <w:right w:w="57" w:type="dxa"/>
            </w:tcMar>
          </w:tcPr>
          <w:p w14:paraId="533BD3C2" w14:textId="77777777" w:rsidR="00C01C52" w:rsidRPr="007D6E0E" w:rsidRDefault="00F60FAA" w:rsidP="00C01C52">
            <w:pPr>
              <w:jc w:val="right"/>
            </w:pPr>
          </w:p>
        </w:tc>
        <w:tc>
          <w:tcPr>
            <w:tcW w:w="1135" w:type="dxa"/>
            <w:tcBorders>
              <w:top w:val="nil"/>
              <w:left w:val="single" w:sz="4" w:space="0" w:color="auto"/>
              <w:bottom w:val="nil"/>
            </w:tcBorders>
            <w:tcMar>
              <w:left w:w="57" w:type="dxa"/>
              <w:right w:w="284" w:type="dxa"/>
            </w:tcMar>
            <w:vAlign w:val="center"/>
          </w:tcPr>
          <w:p w14:paraId="533BD3C3" w14:textId="77777777" w:rsidR="00C01C52" w:rsidRPr="007D6E0E" w:rsidRDefault="00F60FAA" w:rsidP="00C01C52">
            <w:pPr>
              <w:jc w:val="right"/>
            </w:pPr>
          </w:p>
        </w:tc>
      </w:tr>
      <w:tr w:rsidR="002B7C48" w14:paraId="533BD3C9" w14:textId="77777777" w:rsidTr="00C01C52">
        <w:tc>
          <w:tcPr>
            <w:tcW w:w="5954" w:type="dxa"/>
            <w:tcBorders>
              <w:right w:val="single" w:sz="4" w:space="0" w:color="BFBFBF" w:themeColor="background1" w:themeShade="BF"/>
            </w:tcBorders>
            <w:tcMar>
              <w:left w:w="57" w:type="dxa"/>
              <w:right w:w="57" w:type="dxa"/>
            </w:tcMar>
            <w:vAlign w:val="center"/>
          </w:tcPr>
          <w:p w14:paraId="533BD3C5" w14:textId="77777777" w:rsidR="00C01C52" w:rsidRPr="007D6E0E" w:rsidRDefault="00F60FAA" w:rsidP="00C01C52">
            <w:pPr>
              <w:rPr>
                <w:b/>
              </w:rPr>
            </w:pPr>
            <w:r w:rsidRPr="007D6E0E">
              <w:rPr>
                <w:b/>
              </w:rPr>
              <w:lastRenderedPageBreak/>
              <w:t>Net Cost of Services</w:t>
            </w:r>
          </w:p>
        </w:tc>
        <w:tc>
          <w:tcPr>
            <w:tcW w:w="1275" w:type="dxa"/>
            <w:tcBorders>
              <w:top w:val="single" w:sz="4" w:space="0" w:color="auto"/>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C6" w14:textId="77777777" w:rsidR="00C01C52" w:rsidRPr="007D6E0E" w:rsidRDefault="00F60FAA" w:rsidP="00C01C52">
            <w:pPr>
              <w:jc w:val="right"/>
              <w:rPr>
                <w:b/>
              </w:rPr>
            </w:pPr>
          </w:p>
        </w:tc>
        <w:tc>
          <w:tcPr>
            <w:tcW w:w="425" w:type="dxa"/>
            <w:tcBorders>
              <w:top w:val="single" w:sz="4" w:space="0" w:color="auto"/>
              <w:left w:val="single" w:sz="4" w:space="0" w:color="BFBFBF" w:themeColor="background1" w:themeShade="BF"/>
              <w:bottom w:val="nil"/>
              <w:right w:val="nil"/>
            </w:tcBorders>
            <w:tcMar>
              <w:left w:w="57" w:type="dxa"/>
              <w:right w:w="57" w:type="dxa"/>
            </w:tcMar>
          </w:tcPr>
          <w:p w14:paraId="533BD3C7" w14:textId="77777777" w:rsidR="00C01C52" w:rsidRPr="007D6E0E" w:rsidRDefault="00F60FAA" w:rsidP="00C01C52">
            <w:pPr>
              <w:jc w:val="right"/>
              <w:rPr>
                <w:b/>
              </w:rPr>
            </w:pPr>
          </w:p>
        </w:tc>
        <w:tc>
          <w:tcPr>
            <w:tcW w:w="1135" w:type="dxa"/>
            <w:tcBorders>
              <w:top w:val="single" w:sz="4" w:space="0" w:color="auto"/>
              <w:left w:val="nil"/>
              <w:bottom w:val="nil"/>
            </w:tcBorders>
            <w:tcMar>
              <w:left w:w="57" w:type="dxa"/>
              <w:right w:w="284" w:type="dxa"/>
            </w:tcMar>
            <w:vAlign w:val="center"/>
          </w:tcPr>
          <w:p w14:paraId="533BD3C8" w14:textId="77777777" w:rsidR="00C01C52" w:rsidRPr="007D6E0E" w:rsidRDefault="00F60FAA" w:rsidP="00C01C52">
            <w:pPr>
              <w:jc w:val="right"/>
              <w:rPr>
                <w:b/>
              </w:rPr>
            </w:pPr>
            <w:r>
              <w:rPr>
                <w:b/>
              </w:rPr>
              <w:t>(288)</w:t>
            </w:r>
          </w:p>
        </w:tc>
      </w:tr>
      <w:tr w:rsidR="002B7C48" w14:paraId="533BD3D0" w14:textId="77777777" w:rsidTr="00C01C52">
        <w:tc>
          <w:tcPr>
            <w:tcW w:w="5954" w:type="dxa"/>
            <w:tcBorders>
              <w:top w:val="nil"/>
              <w:bottom w:val="nil"/>
              <w:right w:val="single" w:sz="4" w:space="0" w:color="BFBFBF" w:themeColor="background1" w:themeShade="BF"/>
            </w:tcBorders>
            <w:tcMar>
              <w:left w:w="57" w:type="dxa"/>
              <w:right w:w="57" w:type="dxa"/>
            </w:tcMar>
          </w:tcPr>
          <w:p w14:paraId="533BD3CA" w14:textId="77777777" w:rsidR="00C01C52" w:rsidRPr="007D6E0E" w:rsidRDefault="00F60FAA" w:rsidP="00C01C52"/>
          <w:p w14:paraId="533BD3CB" w14:textId="77777777" w:rsidR="00C01C52" w:rsidRPr="007D6E0E" w:rsidRDefault="00F60FAA" w:rsidP="00C01C52">
            <w:r w:rsidRPr="007D6E0E">
              <w:t>Interest receivable</w:t>
            </w:r>
            <w:r>
              <w:t xml:space="preserve"> </w:t>
            </w:r>
            <w:r w:rsidRPr="007D6E0E">
              <w:t>/</w:t>
            </w:r>
            <w:r>
              <w:t xml:space="preserve"> </w:t>
            </w:r>
            <w:r w:rsidRPr="007D6E0E">
              <w:t>capital financing</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tcPr>
          <w:p w14:paraId="533BD3CC" w14:textId="77777777" w:rsidR="00C01C52" w:rsidRPr="007D6E0E" w:rsidRDefault="00F60FAA" w:rsidP="00C01C52">
            <w:pPr>
              <w:jc w:val="right"/>
            </w:pPr>
          </w:p>
        </w:tc>
        <w:tc>
          <w:tcPr>
            <w:tcW w:w="425" w:type="dxa"/>
            <w:tcBorders>
              <w:top w:val="nil"/>
              <w:left w:val="single" w:sz="4" w:space="0" w:color="BFBFBF" w:themeColor="background1" w:themeShade="BF"/>
              <w:bottom w:val="nil"/>
              <w:right w:val="nil"/>
            </w:tcBorders>
            <w:tcMar>
              <w:left w:w="57" w:type="dxa"/>
              <w:right w:w="57" w:type="dxa"/>
            </w:tcMar>
          </w:tcPr>
          <w:p w14:paraId="533BD3CD" w14:textId="77777777" w:rsidR="00C01C52" w:rsidRPr="007D6E0E" w:rsidRDefault="00F60FAA" w:rsidP="00C01C52">
            <w:pPr>
              <w:jc w:val="right"/>
            </w:pPr>
          </w:p>
        </w:tc>
        <w:tc>
          <w:tcPr>
            <w:tcW w:w="1135" w:type="dxa"/>
            <w:tcBorders>
              <w:top w:val="nil"/>
              <w:left w:val="nil"/>
              <w:bottom w:val="nil"/>
            </w:tcBorders>
            <w:tcMar>
              <w:left w:w="57" w:type="dxa"/>
              <w:right w:w="284" w:type="dxa"/>
            </w:tcMar>
          </w:tcPr>
          <w:p w14:paraId="533BD3CE" w14:textId="77777777" w:rsidR="00C01C52" w:rsidRDefault="00F60FAA" w:rsidP="00C01C52">
            <w:pPr>
              <w:jc w:val="right"/>
            </w:pPr>
          </w:p>
          <w:p w14:paraId="533BD3CF" w14:textId="77777777" w:rsidR="00C01C52" w:rsidRPr="007D6E0E" w:rsidRDefault="00F60FAA" w:rsidP="00C01C52">
            <w:pPr>
              <w:jc w:val="right"/>
            </w:pPr>
            <w:r>
              <w:t>(7)</w:t>
            </w:r>
          </w:p>
        </w:tc>
      </w:tr>
      <w:tr w:rsidR="002B7C48" w14:paraId="533BD3D5"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D1" w14:textId="77777777" w:rsidR="00C01C52" w:rsidRPr="007D6E0E" w:rsidRDefault="00F60FAA" w:rsidP="00C01C52">
            <w:r>
              <w:t xml:space="preserve">Staffing Variations - </w:t>
            </w:r>
            <w:r w:rsidRPr="007D6E0E">
              <w:t xml:space="preserve">Pensions contributions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tcPr>
          <w:p w14:paraId="533BD3D2" w14:textId="77777777" w:rsidR="00C01C52" w:rsidRPr="007D6E0E" w:rsidRDefault="00F60FAA" w:rsidP="00C01C52">
            <w:pPr>
              <w:jc w:val="right"/>
            </w:pPr>
          </w:p>
        </w:tc>
        <w:tc>
          <w:tcPr>
            <w:tcW w:w="425" w:type="dxa"/>
            <w:tcBorders>
              <w:top w:val="nil"/>
              <w:left w:val="single" w:sz="4" w:space="0" w:color="BFBFBF" w:themeColor="background1" w:themeShade="BF"/>
              <w:bottom w:val="nil"/>
              <w:right w:val="nil"/>
            </w:tcBorders>
            <w:tcMar>
              <w:left w:w="57" w:type="dxa"/>
              <w:right w:w="57" w:type="dxa"/>
            </w:tcMar>
          </w:tcPr>
          <w:p w14:paraId="533BD3D3" w14:textId="77777777" w:rsidR="00C01C52" w:rsidRPr="007D6E0E" w:rsidRDefault="00F60FAA" w:rsidP="00C01C52">
            <w:pPr>
              <w:jc w:val="right"/>
            </w:pPr>
          </w:p>
        </w:tc>
        <w:tc>
          <w:tcPr>
            <w:tcW w:w="1135" w:type="dxa"/>
            <w:tcBorders>
              <w:top w:val="nil"/>
              <w:left w:val="nil"/>
              <w:bottom w:val="nil"/>
            </w:tcBorders>
            <w:tcMar>
              <w:left w:w="57" w:type="dxa"/>
              <w:right w:w="284" w:type="dxa"/>
            </w:tcMar>
          </w:tcPr>
          <w:p w14:paraId="533BD3D4" w14:textId="77777777" w:rsidR="00C01C52" w:rsidRPr="007D6E0E" w:rsidRDefault="00F60FAA" w:rsidP="00C01C52">
            <w:pPr>
              <w:jc w:val="right"/>
            </w:pPr>
            <w:r>
              <w:t>106</w:t>
            </w:r>
          </w:p>
        </w:tc>
      </w:tr>
      <w:tr w:rsidR="002B7C48" w14:paraId="533BD3DA"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D6" w14:textId="77777777" w:rsidR="00C01C52" w:rsidRPr="007D6E0E" w:rsidRDefault="00F60FAA" w:rsidP="00C01C52">
            <w:r w:rsidRPr="007D6E0E">
              <w:t>Reduced contributions from reserves</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tcPr>
          <w:p w14:paraId="533BD3D7" w14:textId="77777777" w:rsidR="00C01C52" w:rsidRPr="007D6E0E" w:rsidRDefault="00F60FAA" w:rsidP="00C01C52">
            <w:pPr>
              <w:jc w:val="right"/>
            </w:pPr>
          </w:p>
        </w:tc>
        <w:tc>
          <w:tcPr>
            <w:tcW w:w="425" w:type="dxa"/>
            <w:tcBorders>
              <w:top w:val="nil"/>
              <w:left w:val="single" w:sz="4" w:space="0" w:color="BFBFBF" w:themeColor="background1" w:themeShade="BF"/>
              <w:bottom w:val="nil"/>
              <w:right w:val="nil"/>
            </w:tcBorders>
            <w:tcMar>
              <w:left w:w="57" w:type="dxa"/>
              <w:right w:w="57" w:type="dxa"/>
            </w:tcMar>
          </w:tcPr>
          <w:p w14:paraId="533BD3D8" w14:textId="77777777" w:rsidR="00C01C52" w:rsidRPr="007D6E0E" w:rsidRDefault="00F60FAA" w:rsidP="00C01C52">
            <w:pPr>
              <w:jc w:val="right"/>
            </w:pPr>
          </w:p>
        </w:tc>
        <w:tc>
          <w:tcPr>
            <w:tcW w:w="1135" w:type="dxa"/>
            <w:tcBorders>
              <w:top w:val="nil"/>
              <w:left w:val="nil"/>
              <w:bottom w:val="nil"/>
            </w:tcBorders>
            <w:tcMar>
              <w:left w:w="57" w:type="dxa"/>
              <w:right w:w="284" w:type="dxa"/>
            </w:tcMar>
          </w:tcPr>
          <w:p w14:paraId="533BD3D9" w14:textId="77777777" w:rsidR="00C01C52" w:rsidRPr="007D6E0E" w:rsidRDefault="00F60FAA" w:rsidP="00C01C52">
            <w:pPr>
              <w:jc w:val="right"/>
            </w:pPr>
          </w:p>
        </w:tc>
      </w:tr>
      <w:tr w:rsidR="002B7C48" w14:paraId="533BD3DF"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DB" w14:textId="77777777" w:rsidR="00C01C52" w:rsidRPr="007D6E0E" w:rsidRDefault="00F60FAA" w:rsidP="00C01C52">
            <w:pPr>
              <w:jc w:val="left"/>
            </w:pPr>
            <w:r w:rsidRPr="007D6E0E">
              <w:t xml:space="preserve">Additional Contribution to / (from) reserves compared to budget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DC" w14:textId="77777777" w:rsidR="00C01C52" w:rsidRPr="007D6E0E" w:rsidRDefault="00F60FAA" w:rsidP="00C01C52">
            <w:pPr>
              <w:jc w:val="right"/>
            </w:pPr>
          </w:p>
        </w:tc>
        <w:tc>
          <w:tcPr>
            <w:tcW w:w="425" w:type="dxa"/>
            <w:tcBorders>
              <w:top w:val="nil"/>
              <w:left w:val="single" w:sz="4" w:space="0" w:color="BFBFBF" w:themeColor="background1" w:themeShade="BF"/>
              <w:bottom w:val="nil"/>
              <w:right w:val="nil"/>
            </w:tcBorders>
            <w:tcMar>
              <w:left w:w="57" w:type="dxa"/>
              <w:right w:w="57" w:type="dxa"/>
            </w:tcMar>
          </w:tcPr>
          <w:p w14:paraId="533BD3DD" w14:textId="77777777" w:rsidR="00C01C52" w:rsidRPr="007D6E0E" w:rsidRDefault="00F60FAA" w:rsidP="00C01C52">
            <w:pPr>
              <w:jc w:val="right"/>
            </w:pPr>
          </w:p>
        </w:tc>
        <w:tc>
          <w:tcPr>
            <w:tcW w:w="1135" w:type="dxa"/>
            <w:tcBorders>
              <w:top w:val="nil"/>
              <w:left w:val="nil"/>
              <w:bottom w:val="nil"/>
            </w:tcBorders>
            <w:tcMar>
              <w:left w:w="57" w:type="dxa"/>
              <w:right w:w="284" w:type="dxa"/>
            </w:tcMar>
            <w:vAlign w:val="center"/>
          </w:tcPr>
          <w:p w14:paraId="533BD3DE" w14:textId="77777777" w:rsidR="00C01C52" w:rsidRPr="007D6E0E" w:rsidRDefault="00F60FAA" w:rsidP="00C01C52">
            <w:pPr>
              <w:jc w:val="right"/>
            </w:pPr>
            <w:r>
              <w:t>34</w:t>
            </w:r>
          </w:p>
        </w:tc>
      </w:tr>
      <w:tr w:rsidR="002B7C48" w14:paraId="533BD3E4" w14:textId="77777777" w:rsidTr="00C01C52">
        <w:tc>
          <w:tcPr>
            <w:tcW w:w="5954" w:type="dxa"/>
            <w:tcBorders>
              <w:top w:val="nil"/>
              <w:bottom w:val="nil"/>
              <w:right w:val="single" w:sz="4" w:space="0" w:color="BFBFBF" w:themeColor="background1" w:themeShade="BF"/>
            </w:tcBorders>
            <w:tcMar>
              <w:left w:w="57" w:type="dxa"/>
              <w:right w:w="57" w:type="dxa"/>
            </w:tcMar>
            <w:vAlign w:val="center"/>
          </w:tcPr>
          <w:p w14:paraId="533BD3E0" w14:textId="77777777" w:rsidR="00C01C52" w:rsidRPr="007D6E0E" w:rsidRDefault="00F60FAA" w:rsidP="00C01C52">
            <w:pPr>
              <w:jc w:val="left"/>
            </w:pPr>
            <w:r w:rsidRPr="007D6E0E">
              <w:t>Retained Business Rates and s31 grant funding</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E1" w14:textId="77777777" w:rsidR="00C01C52" w:rsidRPr="007D6E0E" w:rsidRDefault="00F60FAA" w:rsidP="00C01C52">
            <w:pPr>
              <w:jc w:val="right"/>
            </w:pPr>
          </w:p>
        </w:tc>
        <w:tc>
          <w:tcPr>
            <w:tcW w:w="425" w:type="dxa"/>
            <w:tcBorders>
              <w:top w:val="nil"/>
              <w:left w:val="single" w:sz="4" w:space="0" w:color="BFBFBF" w:themeColor="background1" w:themeShade="BF"/>
              <w:bottom w:val="nil"/>
              <w:right w:val="nil"/>
            </w:tcBorders>
            <w:tcMar>
              <w:left w:w="57" w:type="dxa"/>
              <w:right w:w="57" w:type="dxa"/>
            </w:tcMar>
          </w:tcPr>
          <w:p w14:paraId="533BD3E2" w14:textId="77777777" w:rsidR="00C01C52" w:rsidRPr="007D6E0E" w:rsidRDefault="00F60FAA" w:rsidP="00C01C52">
            <w:pPr>
              <w:jc w:val="right"/>
            </w:pPr>
          </w:p>
        </w:tc>
        <w:tc>
          <w:tcPr>
            <w:tcW w:w="1135" w:type="dxa"/>
            <w:tcBorders>
              <w:top w:val="nil"/>
              <w:left w:val="nil"/>
              <w:bottom w:val="nil"/>
            </w:tcBorders>
            <w:tcMar>
              <w:left w:w="57" w:type="dxa"/>
              <w:right w:w="284" w:type="dxa"/>
            </w:tcMar>
            <w:vAlign w:val="center"/>
          </w:tcPr>
          <w:p w14:paraId="533BD3E3" w14:textId="77777777" w:rsidR="00C01C52" w:rsidRPr="007D6E0E" w:rsidRDefault="00F60FAA" w:rsidP="00C01C52">
            <w:pPr>
              <w:jc w:val="right"/>
            </w:pPr>
          </w:p>
        </w:tc>
      </w:tr>
      <w:tr w:rsidR="002B7C48" w14:paraId="533BD3E9" w14:textId="77777777" w:rsidTr="00C01C52">
        <w:tc>
          <w:tcPr>
            <w:tcW w:w="5954" w:type="dxa"/>
            <w:tcBorders>
              <w:top w:val="nil"/>
              <w:right w:val="single" w:sz="4" w:space="0" w:color="BFBFBF" w:themeColor="background1" w:themeShade="BF"/>
            </w:tcBorders>
            <w:tcMar>
              <w:left w:w="57" w:type="dxa"/>
              <w:right w:w="57" w:type="dxa"/>
            </w:tcMar>
            <w:vAlign w:val="center"/>
          </w:tcPr>
          <w:p w14:paraId="533BD3E5" w14:textId="77777777" w:rsidR="00C01C52" w:rsidRPr="007D6E0E" w:rsidRDefault="00F60FAA" w:rsidP="00C01C52">
            <w:pPr>
              <w:jc w:val="left"/>
            </w:pP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E6" w14:textId="77777777" w:rsidR="00C01C52" w:rsidRPr="007D6E0E" w:rsidRDefault="00F60FAA" w:rsidP="00C01C52">
            <w:pPr>
              <w:jc w:val="right"/>
            </w:pPr>
          </w:p>
        </w:tc>
        <w:tc>
          <w:tcPr>
            <w:tcW w:w="425" w:type="dxa"/>
            <w:tcBorders>
              <w:top w:val="nil"/>
              <w:left w:val="single" w:sz="4" w:space="0" w:color="BFBFBF" w:themeColor="background1" w:themeShade="BF"/>
              <w:bottom w:val="single" w:sz="4" w:space="0" w:color="auto"/>
              <w:right w:val="nil"/>
            </w:tcBorders>
            <w:tcMar>
              <w:left w:w="57" w:type="dxa"/>
              <w:right w:w="57" w:type="dxa"/>
            </w:tcMar>
          </w:tcPr>
          <w:p w14:paraId="533BD3E7" w14:textId="77777777" w:rsidR="00C01C52" w:rsidRPr="007D6E0E" w:rsidRDefault="00F60FAA" w:rsidP="00C01C52">
            <w:pPr>
              <w:jc w:val="right"/>
            </w:pPr>
          </w:p>
        </w:tc>
        <w:tc>
          <w:tcPr>
            <w:tcW w:w="1135" w:type="dxa"/>
            <w:tcBorders>
              <w:top w:val="nil"/>
              <w:left w:val="nil"/>
              <w:bottom w:val="single" w:sz="4" w:space="0" w:color="auto"/>
            </w:tcBorders>
            <w:tcMar>
              <w:left w:w="57" w:type="dxa"/>
              <w:right w:w="284" w:type="dxa"/>
            </w:tcMar>
            <w:vAlign w:val="center"/>
          </w:tcPr>
          <w:p w14:paraId="533BD3E8" w14:textId="77777777" w:rsidR="00C01C52" w:rsidRPr="007D6E0E" w:rsidRDefault="00F60FAA" w:rsidP="00C01C52">
            <w:pPr>
              <w:jc w:val="right"/>
            </w:pPr>
            <w:r>
              <w:t>(280)</w:t>
            </w:r>
          </w:p>
        </w:tc>
      </w:tr>
      <w:tr w:rsidR="002B7C48" w14:paraId="533BD3EE" w14:textId="77777777" w:rsidTr="00C01C52">
        <w:tc>
          <w:tcPr>
            <w:tcW w:w="5954" w:type="dxa"/>
            <w:tcBorders>
              <w:right w:val="single" w:sz="4" w:space="0" w:color="BFBFBF" w:themeColor="background1" w:themeShade="BF"/>
            </w:tcBorders>
            <w:tcMar>
              <w:left w:w="57" w:type="dxa"/>
              <w:right w:w="57" w:type="dxa"/>
            </w:tcMar>
            <w:vAlign w:val="center"/>
          </w:tcPr>
          <w:p w14:paraId="533BD3EA" w14:textId="77777777" w:rsidR="00C01C52" w:rsidRPr="007D6E0E" w:rsidRDefault="00F60FAA" w:rsidP="00C01C52">
            <w:pPr>
              <w:rPr>
                <w:b/>
              </w:rPr>
            </w:pPr>
            <w:r>
              <w:rPr>
                <w:b/>
              </w:rPr>
              <w:t>TOTAL VARIANCE</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EB" w14:textId="77777777" w:rsidR="00C01C52" w:rsidRPr="007D6E0E" w:rsidRDefault="00F60FAA" w:rsidP="00C01C52">
            <w:pPr>
              <w:jc w:val="right"/>
              <w:rPr>
                <w:b/>
              </w:rPr>
            </w:pPr>
          </w:p>
        </w:tc>
        <w:tc>
          <w:tcPr>
            <w:tcW w:w="425" w:type="dxa"/>
            <w:tcBorders>
              <w:top w:val="single" w:sz="4" w:space="0" w:color="auto"/>
              <w:left w:val="single" w:sz="4" w:space="0" w:color="BFBFBF" w:themeColor="background1" w:themeShade="BF"/>
              <w:bottom w:val="nil"/>
              <w:right w:val="nil"/>
            </w:tcBorders>
            <w:tcMar>
              <w:left w:w="57" w:type="dxa"/>
              <w:right w:w="57" w:type="dxa"/>
            </w:tcMar>
          </w:tcPr>
          <w:p w14:paraId="533BD3EC" w14:textId="77777777" w:rsidR="00C01C52" w:rsidRPr="007D6E0E" w:rsidRDefault="00F60FAA" w:rsidP="00C01C52">
            <w:pPr>
              <w:jc w:val="right"/>
              <w:rPr>
                <w:b/>
              </w:rPr>
            </w:pPr>
          </w:p>
        </w:tc>
        <w:tc>
          <w:tcPr>
            <w:tcW w:w="1135" w:type="dxa"/>
            <w:tcBorders>
              <w:top w:val="single" w:sz="4" w:space="0" w:color="auto"/>
              <w:left w:val="nil"/>
              <w:bottom w:val="nil"/>
            </w:tcBorders>
            <w:tcMar>
              <w:left w:w="57" w:type="dxa"/>
              <w:right w:w="284" w:type="dxa"/>
            </w:tcMar>
            <w:vAlign w:val="center"/>
          </w:tcPr>
          <w:p w14:paraId="533BD3ED" w14:textId="77777777" w:rsidR="00C01C52" w:rsidRPr="007D6E0E" w:rsidRDefault="00F60FAA" w:rsidP="00C01C52">
            <w:pPr>
              <w:jc w:val="right"/>
              <w:rPr>
                <w:b/>
              </w:rPr>
            </w:pPr>
            <w:r>
              <w:rPr>
                <w:b/>
              </w:rPr>
              <w:t>(434)</w:t>
            </w:r>
          </w:p>
        </w:tc>
      </w:tr>
      <w:tr w:rsidR="002B7C48" w14:paraId="533BD3F3" w14:textId="77777777" w:rsidTr="00C01C52">
        <w:tc>
          <w:tcPr>
            <w:tcW w:w="5954" w:type="dxa"/>
            <w:tcBorders>
              <w:right w:val="single" w:sz="4" w:space="0" w:color="BFBFBF" w:themeColor="background1" w:themeShade="BF"/>
            </w:tcBorders>
            <w:tcMar>
              <w:left w:w="57" w:type="dxa"/>
              <w:right w:w="57" w:type="dxa"/>
            </w:tcMar>
            <w:vAlign w:val="center"/>
          </w:tcPr>
          <w:p w14:paraId="533BD3EF" w14:textId="77777777" w:rsidR="00C01C52" w:rsidRPr="007D6E0E" w:rsidRDefault="00F60FAA" w:rsidP="00C01C52">
            <w:pPr>
              <w:rPr>
                <w:b/>
              </w:rPr>
            </w:pPr>
            <w:r>
              <w:rPr>
                <w:b/>
              </w:rPr>
              <w:t>Less</w:t>
            </w:r>
            <w:r w:rsidRPr="0061564B">
              <w:t>:</w:t>
            </w:r>
            <w:r>
              <w:t xml:space="preserve"> </w:t>
            </w:r>
            <w:r w:rsidRPr="0061564B">
              <w:t xml:space="preserve">Towns funding capacity payment set aside to support the establishment of the town deal board and development of investment plans </w:t>
            </w:r>
          </w:p>
        </w:tc>
        <w:tc>
          <w:tcPr>
            <w:tcW w:w="1275"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533BD3F0" w14:textId="77777777" w:rsidR="00C01C52" w:rsidRPr="007D6E0E" w:rsidRDefault="00F60FAA" w:rsidP="00C01C52">
            <w:pPr>
              <w:jc w:val="right"/>
              <w:rPr>
                <w:b/>
              </w:rPr>
            </w:pPr>
          </w:p>
        </w:tc>
        <w:tc>
          <w:tcPr>
            <w:tcW w:w="425" w:type="dxa"/>
            <w:tcBorders>
              <w:top w:val="nil"/>
              <w:left w:val="single" w:sz="4" w:space="0" w:color="BFBFBF" w:themeColor="background1" w:themeShade="BF"/>
              <w:bottom w:val="single" w:sz="4" w:space="0" w:color="auto"/>
              <w:right w:val="nil"/>
            </w:tcBorders>
            <w:tcMar>
              <w:left w:w="57" w:type="dxa"/>
              <w:right w:w="57" w:type="dxa"/>
            </w:tcMar>
          </w:tcPr>
          <w:p w14:paraId="533BD3F1" w14:textId="77777777" w:rsidR="00C01C52" w:rsidRPr="007D6E0E" w:rsidRDefault="00F60FAA" w:rsidP="00C01C52">
            <w:pPr>
              <w:jc w:val="right"/>
              <w:rPr>
                <w:b/>
              </w:rPr>
            </w:pPr>
          </w:p>
        </w:tc>
        <w:tc>
          <w:tcPr>
            <w:tcW w:w="1135" w:type="dxa"/>
            <w:tcBorders>
              <w:top w:val="nil"/>
              <w:left w:val="nil"/>
              <w:bottom w:val="single" w:sz="4" w:space="0" w:color="auto"/>
            </w:tcBorders>
            <w:tcMar>
              <w:left w:w="57" w:type="dxa"/>
              <w:right w:w="284" w:type="dxa"/>
            </w:tcMar>
            <w:vAlign w:val="center"/>
          </w:tcPr>
          <w:p w14:paraId="533BD3F2" w14:textId="77777777" w:rsidR="00C01C52" w:rsidRPr="007D6E0E" w:rsidRDefault="00F60FAA" w:rsidP="00C01C52">
            <w:pPr>
              <w:jc w:val="right"/>
              <w:rPr>
                <w:b/>
              </w:rPr>
            </w:pPr>
            <w:r>
              <w:rPr>
                <w:b/>
              </w:rPr>
              <w:t>162</w:t>
            </w:r>
          </w:p>
        </w:tc>
      </w:tr>
      <w:tr w:rsidR="002B7C48" w14:paraId="533BD3FA" w14:textId="77777777" w:rsidTr="00C01C52">
        <w:tc>
          <w:tcPr>
            <w:tcW w:w="5954" w:type="dxa"/>
            <w:tcBorders>
              <w:right w:val="single" w:sz="4" w:space="0" w:color="D9D9D9" w:themeColor="background1" w:themeShade="D9"/>
            </w:tcBorders>
            <w:tcMar>
              <w:left w:w="57" w:type="dxa"/>
              <w:right w:w="57" w:type="dxa"/>
            </w:tcMar>
            <w:vAlign w:val="center"/>
          </w:tcPr>
          <w:p w14:paraId="533BD3F4" w14:textId="77777777" w:rsidR="00C01C52" w:rsidRDefault="00F60FAA" w:rsidP="00C01C52">
            <w:pPr>
              <w:rPr>
                <w:b/>
              </w:rPr>
            </w:pPr>
            <w:r>
              <w:rPr>
                <w:b/>
              </w:rPr>
              <w:t>FORECAST UNDERSPENDING</w:t>
            </w:r>
          </w:p>
        </w:tc>
        <w:tc>
          <w:tcPr>
            <w:tcW w:w="1275" w:type="dxa"/>
            <w:tcBorders>
              <w:top w:val="nil"/>
              <w:left w:val="single" w:sz="4" w:space="0" w:color="D9D9D9" w:themeColor="background1" w:themeShade="D9"/>
              <w:bottom w:val="nil"/>
              <w:right w:val="single" w:sz="4" w:space="0" w:color="D9D9D9" w:themeColor="background1" w:themeShade="D9"/>
            </w:tcBorders>
            <w:tcMar>
              <w:left w:w="57" w:type="dxa"/>
              <w:right w:w="284" w:type="dxa"/>
            </w:tcMar>
            <w:vAlign w:val="center"/>
          </w:tcPr>
          <w:p w14:paraId="533BD3F5" w14:textId="77777777" w:rsidR="00C01C52" w:rsidRPr="007D6E0E" w:rsidRDefault="00F60FAA" w:rsidP="00C01C52">
            <w:pPr>
              <w:jc w:val="right"/>
              <w:rPr>
                <w:b/>
              </w:rPr>
            </w:pPr>
          </w:p>
        </w:tc>
        <w:tc>
          <w:tcPr>
            <w:tcW w:w="425" w:type="dxa"/>
            <w:tcBorders>
              <w:top w:val="single" w:sz="4" w:space="0" w:color="auto"/>
              <w:left w:val="single" w:sz="4" w:space="0" w:color="D9D9D9" w:themeColor="background1" w:themeShade="D9"/>
              <w:bottom w:val="nil"/>
              <w:right w:val="nil"/>
            </w:tcBorders>
            <w:tcMar>
              <w:left w:w="57" w:type="dxa"/>
              <w:right w:w="57" w:type="dxa"/>
            </w:tcMar>
          </w:tcPr>
          <w:p w14:paraId="533BD3F6" w14:textId="77777777" w:rsidR="00C01C52" w:rsidRPr="007D6E0E" w:rsidRDefault="00F60FAA" w:rsidP="00C01C52">
            <w:pPr>
              <w:jc w:val="right"/>
              <w:rPr>
                <w:b/>
              </w:rPr>
            </w:pPr>
          </w:p>
        </w:tc>
        <w:tc>
          <w:tcPr>
            <w:tcW w:w="1135" w:type="dxa"/>
            <w:tcBorders>
              <w:top w:val="single" w:sz="4" w:space="0" w:color="auto"/>
              <w:left w:val="nil"/>
              <w:bottom w:val="nil"/>
            </w:tcBorders>
            <w:tcMar>
              <w:left w:w="57" w:type="dxa"/>
              <w:right w:w="284" w:type="dxa"/>
            </w:tcMar>
            <w:vAlign w:val="bottom"/>
          </w:tcPr>
          <w:p w14:paraId="533BD3F7" w14:textId="77777777" w:rsidR="00C01C52" w:rsidRDefault="00F60FAA" w:rsidP="00C01C52">
            <w:pPr>
              <w:jc w:val="right"/>
              <w:rPr>
                <w:b/>
              </w:rPr>
            </w:pPr>
          </w:p>
          <w:p w14:paraId="533BD3F8" w14:textId="77777777" w:rsidR="00C01C52" w:rsidRDefault="00F60FAA" w:rsidP="00C01C52">
            <w:pPr>
              <w:jc w:val="right"/>
              <w:rPr>
                <w:b/>
              </w:rPr>
            </w:pPr>
            <w:r>
              <w:rPr>
                <w:b/>
              </w:rPr>
              <w:t>(272)</w:t>
            </w:r>
          </w:p>
          <w:p w14:paraId="533BD3F9" w14:textId="77777777" w:rsidR="00C01C52" w:rsidRDefault="00F60FAA" w:rsidP="00C01C52">
            <w:pPr>
              <w:jc w:val="right"/>
              <w:rPr>
                <w:b/>
              </w:rPr>
            </w:pPr>
          </w:p>
        </w:tc>
      </w:tr>
      <w:tr w:rsidR="002B7C48" w14:paraId="533BD3FF" w14:textId="77777777" w:rsidTr="00C01C52">
        <w:tc>
          <w:tcPr>
            <w:tcW w:w="5954" w:type="dxa"/>
            <w:tcBorders>
              <w:right w:val="single" w:sz="4" w:space="0" w:color="D9D9D9" w:themeColor="background1" w:themeShade="D9"/>
            </w:tcBorders>
            <w:tcMar>
              <w:left w:w="57" w:type="dxa"/>
              <w:right w:w="57" w:type="dxa"/>
            </w:tcMar>
            <w:vAlign w:val="center"/>
          </w:tcPr>
          <w:p w14:paraId="533BD3FB" w14:textId="77777777" w:rsidR="00C01C52" w:rsidRDefault="00F60FAA" w:rsidP="00C01C52">
            <w:pPr>
              <w:rPr>
                <w:b/>
              </w:rPr>
            </w:pPr>
            <w:r>
              <w:rPr>
                <w:b/>
              </w:rPr>
              <w:t xml:space="preserve">Less: </w:t>
            </w:r>
            <w:r w:rsidRPr="00412300">
              <w:t>Proposed</w:t>
            </w:r>
            <w:r>
              <w:t xml:space="preserve"> creation of Credit Union Reserve</w:t>
            </w:r>
          </w:p>
        </w:tc>
        <w:tc>
          <w:tcPr>
            <w:tcW w:w="1275" w:type="dxa"/>
            <w:tcBorders>
              <w:top w:val="nil"/>
              <w:left w:val="single" w:sz="4" w:space="0" w:color="D9D9D9" w:themeColor="background1" w:themeShade="D9"/>
              <w:bottom w:val="nil"/>
              <w:right w:val="single" w:sz="4" w:space="0" w:color="D9D9D9" w:themeColor="background1" w:themeShade="D9"/>
            </w:tcBorders>
            <w:tcMar>
              <w:left w:w="57" w:type="dxa"/>
              <w:right w:w="284" w:type="dxa"/>
            </w:tcMar>
            <w:vAlign w:val="center"/>
          </w:tcPr>
          <w:p w14:paraId="533BD3FC" w14:textId="77777777" w:rsidR="00C01C52" w:rsidRPr="007D6E0E" w:rsidRDefault="00F60FAA" w:rsidP="00C01C52">
            <w:pPr>
              <w:jc w:val="right"/>
              <w:rPr>
                <w:b/>
              </w:rPr>
            </w:pPr>
          </w:p>
        </w:tc>
        <w:tc>
          <w:tcPr>
            <w:tcW w:w="425" w:type="dxa"/>
            <w:tcBorders>
              <w:top w:val="nil"/>
              <w:left w:val="single" w:sz="4" w:space="0" w:color="D9D9D9" w:themeColor="background1" w:themeShade="D9"/>
              <w:bottom w:val="nil"/>
              <w:right w:val="nil"/>
            </w:tcBorders>
            <w:tcMar>
              <w:left w:w="57" w:type="dxa"/>
              <w:right w:w="57" w:type="dxa"/>
            </w:tcMar>
          </w:tcPr>
          <w:p w14:paraId="533BD3FD" w14:textId="77777777" w:rsidR="00C01C52" w:rsidRPr="007D6E0E" w:rsidRDefault="00F60FAA" w:rsidP="00C01C52">
            <w:pPr>
              <w:jc w:val="right"/>
              <w:rPr>
                <w:b/>
              </w:rPr>
            </w:pPr>
          </w:p>
        </w:tc>
        <w:tc>
          <w:tcPr>
            <w:tcW w:w="1135" w:type="dxa"/>
            <w:tcBorders>
              <w:top w:val="nil"/>
              <w:left w:val="nil"/>
              <w:bottom w:val="nil"/>
              <w:right w:val="single" w:sz="4" w:space="0" w:color="auto"/>
            </w:tcBorders>
            <w:tcMar>
              <w:left w:w="57" w:type="dxa"/>
              <w:right w:w="284" w:type="dxa"/>
            </w:tcMar>
            <w:vAlign w:val="center"/>
          </w:tcPr>
          <w:p w14:paraId="533BD3FE" w14:textId="77777777" w:rsidR="00C01C52" w:rsidRDefault="00F60FAA" w:rsidP="00C01C52">
            <w:pPr>
              <w:jc w:val="right"/>
              <w:rPr>
                <w:b/>
              </w:rPr>
            </w:pPr>
            <w:r>
              <w:rPr>
                <w:b/>
              </w:rPr>
              <w:t>150</w:t>
            </w:r>
          </w:p>
        </w:tc>
      </w:tr>
      <w:tr w:rsidR="002B7C48" w14:paraId="533BD406" w14:textId="77777777" w:rsidTr="00C01C52">
        <w:tc>
          <w:tcPr>
            <w:tcW w:w="5954" w:type="dxa"/>
            <w:tcBorders>
              <w:right w:val="single" w:sz="4" w:space="0" w:color="D9D9D9" w:themeColor="background1" w:themeShade="D9"/>
            </w:tcBorders>
            <w:tcMar>
              <w:left w:w="57" w:type="dxa"/>
              <w:right w:w="57" w:type="dxa"/>
            </w:tcMar>
            <w:vAlign w:val="center"/>
          </w:tcPr>
          <w:p w14:paraId="533BD400" w14:textId="77777777" w:rsidR="00C01C52" w:rsidRPr="007D6E0E" w:rsidRDefault="00F60FAA" w:rsidP="00C01C52">
            <w:r w:rsidRPr="007D6E0E">
              <w:rPr>
                <w:b/>
              </w:rPr>
              <w:t xml:space="preserve">TOTAL </w:t>
            </w:r>
            <w:r>
              <w:rPr>
                <w:b/>
              </w:rPr>
              <w:t xml:space="preserve">FORECAST </w:t>
            </w:r>
            <w:r>
              <w:rPr>
                <w:b/>
              </w:rPr>
              <w:t>TRANSFER TO GENERAL RESERVE</w:t>
            </w:r>
          </w:p>
        </w:tc>
        <w:tc>
          <w:tcPr>
            <w:tcW w:w="1275" w:type="dxa"/>
            <w:tcBorders>
              <w:top w:val="nil"/>
              <w:left w:val="single" w:sz="4" w:space="0" w:color="D9D9D9" w:themeColor="background1" w:themeShade="D9"/>
              <w:bottom w:val="single" w:sz="4" w:space="0" w:color="auto"/>
              <w:right w:val="single" w:sz="4" w:space="0" w:color="D9D9D9" w:themeColor="background1" w:themeShade="D9"/>
            </w:tcBorders>
            <w:tcMar>
              <w:left w:w="57" w:type="dxa"/>
              <w:right w:w="284" w:type="dxa"/>
            </w:tcMar>
            <w:vAlign w:val="center"/>
          </w:tcPr>
          <w:p w14:paraId="533BD401" w14:textId="77777777" w:rsidR="00C01C52" w:rsidRPr="007D6E0E" w:rsidRDefault="00F60FAA" w:rsidP="00C01C52">
            <w:pPr>
              <w:jc w:val="right"/>
            </w:pPr>
          </w:p>
        </w:tc>
        <w:tc>
          <w:tcPr>
            <w:tcW w:w="425" w:type="dxa"/>
            <w:tcBorders>
              <w:top w:val="nil"/>
              <w:left w:val="single" w:sz="4" w:space="0" w:color="D9D9D9" w:themeColor="background1" w:themeShade="D9"/>
              <w:bottom w:val="single" w:sz="4" w:space="0" w:color="auto"/>
              <w:right w:val="nil"/>
            </w:tcBorders>
            <w:tcMar>
              <w:left w:w="57" w:type="dxa"/>
              <w:right w:w="57" w:type="dxa"/>
            </w:tcMar>
          </w:tcPr>
          <w:p w14:paraId="533BD402" w14:textId="77777777" w:rsidR="00C01C52" w:rsidRPr="00412300" w:rsidRDefault="00F60FAA" w:rsidP="00C01C52">
            <w:pPr>
              <w:jc w:val="right"/>
              <w:rPr>
                <w:color w:val="FF0000"/>
              </w:rPr>
            </w:pPr>
          </w:p>
        </w:tc>
        <w:tc>
          <w:tcPr>
            <w:tcW w:w="1135" w:type="dxa"/>
            <w:tcBorders>
              <w:top w:val="nil"/>
              <w:left w:val="nil"/>
              <w:bottom w:val="single" w:sz="4" w:space="0" w:color="auto"/>
            </w:tcBorders>
            <w:tcMar>
              <w:left w:w="57" w:type="dxa"/>
              <w:right w:w="284" w:type="dxa"/>
            </w:tcMar>
            <w:vAlign w:val="center"/>
          </w:tcPr>
          <w:p w14:paraId="533BD403" w14:textId="77777777" w:rsidR="00C01C52" w:rsidRDefault="00F60FAA" w:rsidP="00C01C52">
            <w:pPr>
              <w:jc w:val="right"/>
              <w:rPr>
                <w:b/>
              </w:rPr>
            </w:pPr>
          </w:p>
          <w:p w14:paraId="533BD404" w14:textId="77777777" w:rsidR="00C01C52" w:rsidRDefault="00F60FAA" w:rsidP="00C01C52">
            <w:pPr>
              <w:jc w:val="right"/>
              <w:rPr>
                <w:b/>
              </w:rPr>
            </w:pPr>
            <w:r w:rsidRPr="004E0E3B">
              <w:rPr>
                <w:b/>
              </w:rPr>
              <w:t>(</w:t>
            </w:r>
            <w:r>
              <w:rPr>
                <w:b/>
              </w:rPr>
              <w:t>122</w:t>
            </w:r>
            <w:r w:rsidRPr="004E0E3B">
              <w:rPr>
                <w:b/>
              </w:rPr>
              <w:t>)</w:t>
            </w:r>
          </w:p>
          <w:p w14:paraId="533BD405" w14:textId="77777777" w:rsidR="00C01C52" w:rsidRPr="00412300" w:rsidRDefault="00F60FAA" w:rsidP="00C01C52">
            <w:pPr>
              <w:jc w:val="right"/>
              <w:rPr>
                <w:b/>
                <w:color w:val="FF0000"/>
              </w:rPr>
            </w:pPr>
          </w:p>
        </w:tc>
      </w:tr>
    </w:tbl>
    <w:p w14:paraId="533BD407" w14:textId="77777777" w:rsidR="00C01C52" w:rsidRDefault="00F60FAA" w:rsidP="00C01C52">
      <w:pPr>
        <w:pStyle w:val="Heading2"/>
      </w:pPr>
    </w:p>
    <w:p w14:paraId="533BD408" w14:textId="77777777" w:rsidR="00C01C52" w:rsidRDefault="00F60FAA" w:rsidP="00C01C52">
      <w:pPr>
        <w:pStyle w:val="Heading2"/>
      </w:pPr>
      <w:r>
        <w:t>Staffing Costs</w:t>
      </w:r>
    </w:p>
    <w:p w14:paraId="533BD409" w14:textId="77777777" w:rsidR="00C01C52" w:rsidRPr="003E0D1D" w:rsidRDefault="00F60FAA" w:rsidP="00C01C52">
      <w:pPr>
        <w:pStyle w:val="ListParagraph"/>
        <w:ind w:left="357" w:hanging="357"/>
        <w:rPr>
          <w:color w:val="FF0000"/>
        </w:rPr>
      </w:pPr>
      <w:r>
        <w:t xml:space="preserve">The total forecast saving in staffing </w:t>
      </w:r>
      <w:r w:rsidRPr="000E39EC">
        <w:t>costs is £17</w:t>
      </w:r>
      <w:r>
        <w:t>5</w:t>
      </w:r>
      <w:r w:rsidRPr="000E39EC">
        <w:t xml:space="preserve">,000. This </w:t>
      </w:r>
      <w:r>
        <w:t xml:space="preserve">is after allocating the £150,000 turnover target to match actual savings achieved during the year. The main reason for the </w:t>
      </w:r>
      <w:r>
        <w:t>underspend against budget is posts being vacant, some earlier in the year that have now been filled others that are currently vacant.</w:t>
      </w:r>
    </w:p>
    <w:p w14:paraId="533BD40A" w14:textId="77777777" w:rsidR="00C01C52" w:rsidRDefault="00F60FAA" w:rsidP="00C01C52">
      <w:pPr>
        <w:pStyle w:val="ListParagraph"/>
        <w:ind w:left="357" w:hanging="357"/>
      </w:pPr>
      <w:r>
        <w:t>The posts that are currently vacant are listed below.</w:t>
      </w:r>
    </w:p>
    <w:tbl>
      <w:tblPr>
        <w:tblStyle w:val="TableGrid"/>
        <w:tblW w:w="0" w:type="auto"/>
        <w:tblInd w:w="357" w:type="dxa"/>
        <w:tblLook w:val="04A0" w:firstRow="1" w:lastRow="0" w:firstColumn="1" w:lastColumn="0" w:noHBand="0" w:noVBand="1"/>
      </w:tblPr>
      <w:tblGrid>
        <w:gridCol w:w="1831"/>
        <w:gridCol w:w="2769"/>
        <w:gridCol w:w="4954"/>
      </w:tblGrid>
      <w:tr w:rsidR="002B7C48" w14:paraId="533BD40E" w14:textId="77777777" w:rsidTr="00C01C52">
        <w:trPr>
          <w:trHeight w:val="340"/>
          <w:tblHeader/>
        </w:trPr>
        <w:tc>
          <w:tcPr>
            <w:tcW w:w="1831" w:type="dxa"/>
            <w:vAlign w:val="center"/>
          </w:tcPr>
          <w:p w14:paraId="533BD40B" w14:textId="77777777" w:rsidR="00C01C52" w:rsidRPr="00E6500C" w:rsidRDefault="00F60FAA" w:rsidP="00C01C52">
            <w:pPr>
              <w:pStyle w:val="ListParagraph"/>
              <w:numPr>
                <w:ilvl w:val="0"/>
                <w:numId w:val="0"/>
              </w:numPr>
              <w:spacing w:after="0"/>
              <w:jc w:val="left"/>
              <w:rPr>
                <w:b/>
              </w:rPr>
            </w:pPr>
            <w:r w:rsidRPr="00E6500C">
              <w:rPr>
                <w:b/>
              </w:rPr>
              <w:t>Directorate</w:t>
            </w:r>
          </w:p>
        </w:tc>
        <w:tc>
          <w:tcPr>
            <w:tcW w:w="2769" w:type="dxa"/>
            <w:vAlign w:val="center"/>
          </w:tcPr>
          <w:p w14:paraId="533BD40C" w14:textId="77777777" w:rsidR="00C01C52" w:rsidRPr="00E6500C" w:rsidRDefault="00F60FAA" w:rsidP="00C01C52">
            <w:pPr>
              <w:pStyle w:val="ListParagraph"/>
              <w:numPr>
                <w:ilvl w:val="0"/>
                <w:numId w:val="0"/>
              </w:numPr>
              <w:spacing w:after="0"/>
              <w:jc w:val="left"/>
              <w:rPr>
                <w:b/>
              </w:rPr>
            </w:pPr>
            <w:r w:rsidRPr="00E6500C">
              <w:rPr>
                <w:b/>
              </w:rPr>
              <w:t>Post</w:t>
            </w:r>
          </w:p>
        </w:tc>
        <w:tc>
          <w:tcPr>
            <w:tcW w:w="4954" w:type="dxa"/>
            <w:vAlign w:val="center"/>
          </w:tcPr>
          <w:p w14:paraId="533BD40D" w14:textId="77777777" w:rsidR="00C01C52" w:rsidRPr="00E6500C" w:rsidRDefault="00F60FAA" w:rsidP="00C01C52">
            <w:pPr>
              <w:pStyle w:val="ListParagraph"/>
              <w:numPr>
                <w:ilvl w:val="0"/>
                <w:numId w:val="0"/>
              </w:numPr>
              <w:spacing w:after="0"/>
              <w:rPr>
                <w:b/>
              </w:rPr>
            </w:pPr>
            <w:r w:rsidRPr="00E6500C">
              <w:rPr>
                <w:b/>
              </w:rPr>
              <w:t>Notes</w:t>
            </w:r>
          </w:p>
        </w:tc>
      </w:tr>
      <w:tr w:rsidR="002B7C48" w14:paraId="533BD412" w14:textId="77777777" w:rsidTr="00C01C52">
        <w:trPr>
          <w:trHeight w:val="340"/>
        </w:trPr>
        <w:tc>
          <w:tcPr>
            <w:tcW w:w="1831" w:type="dxa"/>
            <w:vMerge w:val="restart"/>
            <w:vAlign w:val="center"/>
          </w:tcPr>
          <w:p w14:paraId="533BD40F" w14:textId="77777777" w:rsidR="00C01C52" w:rsidRPr="00E6500C" w:rsidRDefault="00F60FAA" w:rsidP="00C01C52">
            <w:pPr>
              <w:pStyle w:val="ListParagraph"/>
              <w:numPr>
                <w:ilvl w:val="0"/>
                <w:numId w:val="0"/>
              </w:numPr>
              <w:spacing w:after="0"/>
              <w:jc w:val="left"/>
            </w:pPr>
            <w:r w:rsidRPr="00E6500C">
              <w:t>Chief Executive</w:t>
            </w:r>
          </w:p>
        </w:tc>
        <w:tc>
          <w:tcPr>
            <w:tcW w:w="2769" w:type="dxa"/>
            <w:vAlign w:val="center"/>
          </w:tcPr>
          <w:p w14:paraId="533BD410" w14:textId="77777777" w:rsidR="00C01C52" w:rsidRPr="00E6500C" w:rsidRDefault="00F60FAA" w:rsidP="00C01C52">
            <w:pPr>
              <w:pStyle w:val="ListParagraph"/>
              <w:numPr>
                <w:ilvl w:val="0"/>
                <w:numId w:val="0"/>
              </w:numPr>
              <w:spacing w:after="0"/>
              <w:jc w:val="left"/>
            </w:pPr>
            <w:r w:rsidRPr="00E6500C">
              <w:t xml:space="preserve">Deputy Chief </w:t>
            </w:r>
            <w:r w:rsidRPr="00E6500C">
              <w:t>Executive (Regeneration and Growth)</w:t>
            </w:r>
          </w:p>
        </w:tc>
        <w:tc>
          <w:tcPr>
            <w:tcW w:w="4954" w:type="dxa"/>
            <w:vMerge w:val="restart"/>
            <w:vAlign w:val="center"/>
          </w:tcPr>
          <w:p w14:paraId="533BD411" w14:textId="77777777" w:rsidR="00C01C52" w:rsidRPr="00E6500C" w:rsidRDefault="00F60FAA" w:rsidP="00C01C52">
            <w:pPr>
              <w:pStyle w:val="ListParagraph"/>
              <w:numPr>
                <w:ilvl w:val="0"/>
                <w:numId w:val="0"/>
              </w:numPr>
              <w:spacing w:after="0"/>
            </w:pPr>
            <w:r w:rsidRPr="00E6500C">
              <w:t>These posts will be deleted from 1</w:t>
            </w:r>
            <w:r w:rsidRPr="00E6500C">
              <w:rPr>
                <w:vertAlign w:val="superscript"/>
              </w:rPr>
              <w:t>st</w:t>
            </w:r>
            <w:r w:rsidRPr="00E6500C">
              <w:t xml:space="preserve"> April, to reflect the new shared services arrangements.</w:t>
            </w:r>
          </w:p>
        </w:tc>
      </w:tr>
      <w:tr w:rsidR="002B7C48" w14:paraId="533BD416" w14:textId="77777777" w:rsidTr="00C01C52">
        <w:trPr>
          <w:trHeight w:val="340"/>
        </w:trPr>
        <w:tc>
          <w:tcPr>
            <w:tcW w:w="1831" w:type="dxa"/>
            <w:vMerge/>
            <w:vAlign w:val="center"/>
          </w:tcPr>
          <w:p w14:paraId="533BD413" w14:textId="77777777" w:rsidR="00C01C52" w:rsidRPr="00E6500C" w:rsidRDefault="00F60FAA" w:rsidP="00C01C52">
            <w:pPr>
              <w:pStyle w:val="ListParagraph"/>
              <w:numPr>
                <w:ilvl w:val="0"/>
                <w:numId w:val="0"/>
              </w:numPr>
              <w:spacing w:after="0"/>
              <w:jc w:val="left"/>
            </w:pPr>
          </w:p>
        </w:tc>
        <w:tc>
          <w:tcPr>
            <w:tcW w:w="2769" w:type="dxa"/>
            <w:vAlign w:val="center"/>
          </w:tcPr>
          <w:p w14:paraId="533BD414" w14:textId="77777777" w:rsidR="00C01C52" w:rsidRPr="00E6500C" w:rsidRDefault="00F60FAA" w:rsidP="00C01C52">
            <w:pPr>
              <w:pStyle w:val="ListParagraph"/>
              <w:numPr>
                <w:ilvl w:val="0"/>
                <w:numId w:val="0"/>
              </w:numPr>
              <w:spacing w:after="0"/>
              <w:jc w:val="left"/>
            </w:pPr>
            <w:r w:rsidRPr="00E6500C">
              <w:t>Deputy Chief Executive (Resources &amp; Transformation)</w:t>
            </w:r>
          </w:p>
        </w:tc>
        <w:tc>
          <w:tcPr>
            <w:tcW w:w="4954" w:type="dxa"/>
            <w:vMerge/>
            <w:vAlign w:val="center"/>
          </w:tcPr>
          <w:p w14:paraId="533BD415" w14:textId="77777777" w:rsidR="00C01C52" w:rsidRPr="00E6500C" w:rsidRDefault="00F60FAA" w:rsidP="00C01C52">
            <w:pPr>
              <w:pStyle w:val="ListParagraph"/>
              <w:numPr>
                <w:ilvl w:val="0"/>
                <w:numId w:val="0"/>
              </w:numPr>
              <w:spacing w:after="0"/>
            </w:pPr>
          </w:p>
        </w:tc>
      </w:tr>
      <w:tr w:rsidR="002B7C48" w14:paraId="533BD41A" w14:textId="77777777" w:rsidTr="00C01C52">
        <w:trPr>
          <w:trHeight w:val="340"/>
        </w:trPr>
        <w:tc>
          <w:tcPr>
            <w:tcW w:w="1831" w:type="dxa"/>
            <w:vMerge w:val="restart"/>
            <w:vAlign w:val="center"/>
          </w:tcPr>
          <w:p w14:paraId="533BD417" w14:textId="77777777" w:rsidR="00C01C52" w:rsidRPr="00E6500C" w:rsidRDefault="00F60FAA" w:rsidP="00C01C52">
            <w:pPr>
              <w:pStyle w:val="ListParagraph"/>
              <w:numPr>
                <w:ilvl w:val="0"/>
                <w:numId w:val="0"/>
              </w:numPr>
              <w:spacing w:after="0"/>
              <w:jc w:val="left"/>
            </w:pPr>
            <w:r w:rsidRPr="00E6500C">
              <w:t>Neighbourhoods and Development</w:t>
            </w:r>
          </w:p>
        </w:tc>
        <w:tc>
          <w:tcPr>
            <w:tcW w:w="2769" w:type="dxa"/>
            <w:shd w:val="clear" w:color="auto" w:fill="auto"/>
            <w:vAlign w:val="center"/>
          </w:tcPr>
          <w:p w14:paraId="533BD418" w14:textId="77777777" w:rsidR="00C01C52" w:rsidRPr="00E6500C" w:rsidRDefault="00F60FAA" w:rsidP="00C01C52">
            <w:pPr>
              <w:pStyle w:val="ListParagraph"/>
              <w:numPr>
                <w:ilvl w:val="0"/>
                <w:numId w:val="0"/>
              </w:numPr>
              <w:spacing w:after="0"/>
              <w:jc w:val="left"/>
            </w:pPr>
            <w:r w:rsidRPr="00E6500C">
              <w:t>Graphic Designer</w:t>
            </w:r>
          </w:p>
        </w:tc>
        <w:tc>
          <w:tcPr>
            <w:tcW w:w="4954" w:type="dxa"/>
            <w:vAlign w:val="center"/>
          </w:tcPr>
          <w:p w14:paraId="533BD419" w14:textId="77777777" w:rsidR="00C01C52" w:rsidRPr="00E6500C" w:rsidRDefault="00F60FAA" w:rsidP="00C01C52">
            <w:pPr>
              <w:pStyle w:val="ListParagraph"/>
              <w:numPr>
                <w:ilvl w:val="0"/>
                <w:numId w:val="0"/>
              </w:numPr>
              <w:spacing w:after="0"/>
            </w:pPr>
            <w:r w:rsidRPr="00E6500C">
              <w:t xml:space="preserve">Vacant since </w:t>
            </w:r>
            <w:r w:rsidRPr="00E6500C">
              <w:t>30/11/19</w:t>
            </w:r>
          </w:p>
        </w:tc>
      </w:tr>
      <w:tr w:rsidR="002B7C48" w14:paraId="533BD41E" w14:textId="77777777" w:rsidTr="00C01C52">
        <w:trPr>
          <w:trHeight w:val="340"/>
        </w:trPr>
        <w:tc>
          <w:tcPr>
            <w:tcW w:w="1831" w:type="dxa"/>
            <w:vMerge/>
            <w:vAlign w:val="center"/>
          </w:tcPr>
          <w:p w14:paraId="533BD41B" w14:textId="77777777" w:rsidR="00C01C52" w:rsidRPr="00E6500C" w:rsidRDefault="00F60FAA" w:rsidP="00C01C52">
            <w:pPr>
              <w:pStyle w:val="ListParagraph"/>
              <w:numPr>
                <w:ilvl w:val="0"/>
                <w:numId w:val="0"/>
              </w:numPr>
              <w:spacing w:after="0"/>
              <w:jc w:val="left"/>
            </w:pPr>
          </w:p>
        </w:tc>
        <w:tc>
          <w:tcPr>
            <w:tcW w:w="2769" w:type="dxa"/>
            <w:shd w:val="clear" w:color="auto" w:fill="auto"/>
            <w:vAlign w:val="center"/>
          </w:tcPr>
          <w:p w14:paraId="533BD41C" w14:textId="77777777" w:rsidR="00C01C52" w:rsidRPr="00E6500C" w:rsidRDefault="00F60FAA" w:rsidP="00C01C52">
            <w:pPr>
              <w:pStyle w:val="ListParagraph"/>
              <w:numPr>
                <w:ilvl w:val="0"/>
                <w:numId w:val="0"/>
              </w:numPr>
              <w:spacing w:after="0"/>
              <w:jc w:val="left"/>
            </w:pPr>
            <w:r w:rsidRPr="00E6500C">
              <w:t>Engineering Technician</w:t>
            </w:r>
          </w:p>
        </w:tc>
        <w:tc>
          <w:tcPr>
            <w:tcW w:w="4954" w:type="dxa"/>
            <w:vAlign w:val="center"/>
          </w:tcPr>
          <w:p w14:paraId="533BD41D" w14:textId="77777777" w:rsidR="00C01C52" w:rsidRPr="00E6500C" w:rsidRDefault="00F60FAA" w:rsidP="00C01C52">
            <w:pPr>
              <w:pStyle w:val="ListParagraph"/>
              <w:numPr>
                <w:ilvl w:val="0"/>
                <w:numId w:val="0"/>
              </w:numPr>
              <w:spacing w:after="0"/>
            </w:pPr>
            <w:r w:rsidRPr="00E6500C">
              <w:t>Vacant since 14/09/19</w:t>
            </w:r>
          </w:p>
        </w:tc>
      </w:tr>
      <w:tr w:rsidR="002B7C48" w14:paraId="533BD422" w14:textId="77777777" w:rsidTr="00C01C52">
        <w:trPr>
          <w:trHeight w:val="327"/>
        </w:trPr>
        <w:tc>
          <w:tcPr>
            <w:tcW w:w="1831" w:type="dxa"/>
            <w:vMerge w:val="restart"/>
            <w:vAlign w:val="center"/>
          </w:tcPr>
          <w:p w14:paraId="533BD41F" w14:textId="77777777" w:rsidR="00C01C52" w:rsidRPr="00E6500C" w:rsidRDefault="00F60FAA" w:rsidP="00C01C52">
            <w:pPr>
              <w:pStyle w:val="ListParagraph"/>
              <w:numPr>
                <w:ilvl w:val="0"/>
                <w:numId w:val="0"/>
              </w:numPr>
              <w:spacing w:after="0"/>
              <w:jc w:val="left"/>
            </w:pPr>
            <w:r w:rsidRPr="00E6500C">
              <w:t>Planning and Property</w:t>
            </w:r>
          </w:p>
        </w:tc>
        <w:tc>
          <w:tcPr>
            <w:tcW w:w="2769" w:type="dxa"/>
            <w:vAlign w:val="center"/>
          </w:tcPr>
          <w:p w14:paraId="533BD420" w14:textId="77777777" w:rsidR="00C01C52" w:rsidRPr="00E6500C" w:rsidRDefault="00F60FAA" w:rsidP="00C01C52">
            <w:pPr>
              <w:pStyle w:val="ListParagraph"/>
              <w:numPr>
                <w:ilvl w:val="0"/>
                <w:numId w:val="0"/>
              </w:numPr>
              <w:spacing w:after="0"/>
              <w:jc w:val="left"/>
            </w:pPr>
            <w:r w:rsidRPr="00E6500C">
              <w:t>Planning Technical Support Supervisor</w:t>
            </w:r>
          </w:p>
        </w:tc>
        <w:tc>
          <w:tcPr>
            <w:tcW w:w="4954" w:type="dxa"/>
            <w:vAlign w:val="center"/>
          </w:tcPr>
          <w:p w14:paraId="533BD421" w14:textId="77777777" w:rsidR="00C01C52" w:rsidRPr="00E6500C" w:rsidRDefault="00F60FAA" w:rsidP="00C01C52">
            <w:pPr>
              <w:pStyle w:val="ListParagraph"/>
              <w:numPr>
                <w:ilvl w:val="0"/>
                <w:numId w:val="0"/>
              </w:numPr>
              <w:spacing w:after="0"/>
            </w:pPr>
            <w:r w:rsidRPr="00E6500C">
              <w:t>Vacant since 04/03/19</w:t>
            </w:r>
          </w:p>
        </w:tc>
      </w:tr>
      <w:tr w:rsidR="002B7C48" w14:paraId="533BD426" w14:textId="77777777" w:rsidTr="00C01C52">
        <w:trPr>
          <w:trHeight w:val="340"/>
        </w:trPr>
        <w:tc>
          <w:tcPr>
            <w:tcW w:w="1831" w:type="dxa"/>
            <w:vMerge/>
            <w:vAlign w:val="center"/>
          </w:tcPr>
          <w:p w14:paraId="533BD423" w14:textId="77777777" w:rsidR="00C01C52" w:rsidRPr="00E6500C" w:rsidRDefault="00F60FAA" w:rsidP="00C01C52">
            <w:pPr>
              <w:pStyle w:val="ListParagraph"/>
              <w:numPr>
                <w:ilvl w:val="0"/>
                <w:numId w:val="0"/>
              </w:numPr>
              <w:spacing w:after="0"/>
              <w:jc w:val="left"/>
            </w:pPr>
          </w:p>
        </w:tc>
        <w:tc>
          <w:tcPr>
            <w:tcW w:w="2769" w:type="dxa"/>
            <w:vAlign w:val="center"/>
          </w:tcPr>
          <w:p w14:paraId="533BD424" w14:textId="77777777" w:rsidR="00C01C52" w:rsidRPr="00E6500C" w:rsidRDefault="00F60FAA" w:rsidP="00C01C52">
            <w:pPr>
              <w:pStyle w:val="ListParagraph"/>
              <w:numPr>
                <w:ilvl w:val="0"/>
                <w:numId w:val="0"/>
              </w:numPr>
              <w:spacing w:after="0"/>
              <w:jc w:val="left"/>
            </w:pPr>
            <w:r w:rsidRPr="00E6500C">
              <w:t xml:space="preserve">Planning </w:t>
            </w:r>
            <w:r>
              <w:t xml:space="preserve">Compliance &amp; Monitoring </w:t>
            </w:r>
            <w:r w:rsidRPr="00E6500C">
              <w:t>Officer</w:t>
            </w:r>
          </w:p>
        </w:tc>
        <w:tc>
          <w:tcPr>
            <w:tcW w:w="4954" w:type="dxa"/>
            <w:vAlign w:val="center"/>
          </w:tcPr>
          <w:p w14:paraId="533BD425" w14:textId="77777777" w:rsidR="00C01C52" w:rsidRPr="00E6500C" w:rsidRDefault="00F60FAA" w:rsidP="00C01C52">
            <w:pPr>
              <w:pStyle w:val="ListParagraph"/>
              <w:numPr>
                <w:ilvl w:val="0"/>
                <w:numId w:val="0"/>
              </w:numPr>
              <w:spacing w:after="0"/>
            </w:pPr>
            <w:r w:rsidRPr="00E6500C">
              <w:t xml:space="preserve">Vacant since 01/08/19, when the new structure was implemented.  It is </w:t>
            </w:r>
            <w:r w:rsidRPr="00E6500C">
              <w:t>being kept vacant to assess whether it is required in the long term.</w:t>
            </w:r>
          </w:p>
        </w:tc>
      </w:tr>
      <w:tr w:rsidR="002B7C48" w14:paraId="533BD42A" w14:textId="77777777" w:rsidTr="00C01C52">
        <w:trPr>
          <w:trHeight w:val="340"/>
        </w:trPr>
        <w:tc>
          <w:tcPr>
            <w:tcW w:w="1831" w:type="dxa"/>
            <w:vMerge w:val="restart"/>
            <w:vAlign w:val="center"/>
          </w:tcPr>
          <w:p w14:paraId="533BD427" w14:textId="77777777" w:rsidR="00C01C52" w:rsidRPr="00E6500C" w:rsidRDefault="00F60FAA" w:rsidP="00C01C52">
            <w:pPr>
              <w:pStyle w:val="ListParagraph"/>
              <w:numPr>
                <w:ilvl w:val="0"/>
                <w:numId w:val="0"/>
              </w:numPr>
              <w:spacing w:after="0"/>
              <w:jc w:val="left"/>
            </w:pPr>
            <w:r w:rsidRPr="00E6500C">
              <w:lastRenderedPageBreak/>
              <w:t>Finance and Assurance</w:t>
            </w:r>
          </w:p>
        </w:tc>
        <w:tc>
          <w:tcPr>
            <w:tcW w:w="2769" w:type="dxa"/>
            <w:vAlign w:val="center"/>
          </w:tcPr>
          <w:p w14:paraId="533BD428" w14:textId="77777777" w:rsidR="00C01C52" w:rsidRPr="00E6500C" w:rsidRDefault="00F60FAA" w:rsidP="00C01C52">
            <w:pPr>
              <w:pStyle w:val="ListParagraph"/>
              <w:numPr>
                <w:ilvl w:val="0"/>
                <w:numId w:val="0"/>
              </w:numPr>
              <w:spacing w:after="0"/>
              <w:jc w:val="left"/>
            </w:pPr>
            <w:r w:rsidRPr="00E6500C">
              <w:t>Shared Director of Finance</w:t>
            </w:r>
          </w:p>
        </w:tc>
        <w:tc>
          <w:tcPr>
            <w:tcW w:w="4954" w:type="dxa"/>
            <w:vAlign w:val="center"/>
          </w:tcPr>
          <w:p w14:paraId="533BD429" w14:textId="77777777" w:rsidR="00C01C52" w:rsidRPr="00E6500C" w:rsidRDefault="00F60FAA" w:rsidP="00C01C52">
            <w:pPr>
              <w:pStyle w:val="ListParagraph"/>
              <w:numPr>
                <w:ilvl w:val="0"/>
                <w:numId w:val="0"/>
              </w:numPr>
              <w:spacing w:after="0"/>
            </w:pPr>
            <w:r>
              <w:t>Vacant all year</w:t>
            </w:r>
          </w:p>
        </w:tc>
      </w:tr>
      <w:tr w:rsidR="002B7C48" w14:paraId="533BD42E" w14:textId="77777777" w:rsidTr="00C01C52">
        <w:trPr>
          <w:trHeight w:val="70"/>
        </w:trPr>
        <w:tc>
          <w:tcPr>
            <w:tcW w:w="1831" w:type="dxa"/>
            <w:vMerge/>
            <w:vAlign w:val="center"/>
          </w:tcPr>
          <w:p w14:paraId="533BD42B" w14:textId="77777777" w:rsidR="00C01C52" w:rsidRPr="00E6500C" w:rsidRDefault="00F60FAA" w:rsidP="00C01C52">
            <w:pPr>
              <w:pStyle w:val="ListParagraph"/>
              <w:numPr>
                <w:ilvl w:val="0"/>
                <w:numId w:val="0"/>
              </w:numPr>
              <w:spacing w:after="0"/>
              <w:jc w:val="left"/>
            </w:pPr>
          </w:p>
        </w:tc>
        <w:tc>
          <w:tcPr>
            <w:tcW w:w="2769" w:type="dxa"/>
            <w:vAlign w:val="center"/>
          </w:tcPr>
          <w:p w14:paraId="533BD42C" w14:textId="77777777" w:rsidR="00C01C52" w:rsidRPr="00E6500C" w:rsidRDefault="00F60FAA" w:rsidP="00C01C52">
            <w:pPr>
              <w:pStyle w:val="ListParagraph"/>
              <w:numPr>
                <w:ilvl w:val="0"/>
                <w:numId w:val="0"/>
              </w:numPr>
              <w:spacing w:after="0"/>
              <w:jc w:val="left"/>
            </w:pPr>
            <w:r w:rsidRPr="00E6500C">
              <w:t>Auditor 1.2 FTE</w:t>
            </w:r>
          </w:p>
        </w:tc>
        <w:tc>
          <w:tcPr>
            <w:tcW w:w="4954" w:type="dxa"/>
            <w:vMerge w:val="restart"/>
            <w:vAlign w:val="center"/>
          </w:tcPr>
          <w:p w14:paraId="533BD42D" w14:textId="77777777" w:rsidR="00C01C52" w:rsidRPr="00E6500C" w:rsidRDefault="00F60FAA" w:rsidP="00C01C52">
            <w:pPr>
              <w:pStyle w:val="ListParagraph"/>
              <w:numPr>
                <w:ilvl w:val="0"/>
                <w:numId w:val="0"/>
              </w:numPr>
              <w:spacing w:after="0"/>
            </w:pPr>
            <w:r w:rsidRPr="00E6500C">
              <w:t>These posts are all being filled on a temporary basis.</w:t>
            </w:r>
          </w:p>
        </w:tc>
      </w:tr>
      <w:tr w:rsidR="002B7C48" w14:paraId="533BD432" w14:textId="77777777" w:rsidTr="00C01C52">
        <w:trPr>
          <w:trHeight w:val="340"/>
        </w:trPr>
        <w:tc>
          <w:tcPr>
            <w:tcW w:w="1831" w:type="dxa"/>
            <w:vMerge/>
            <w:vAlign w:val="center"/>
          </w:tcPr>
          <w:p w14:paraId="533BD42F" w14:textId="77777777" w:rsidR="00C01C52" w:rsidRPr="00E6500C" w:rsidRDefault="00F60FAA" w:rsidP="00C01C52">
            <w:pPr>
              <w:pStyle w:val="ListParagraph"/>
              <w:numPr>
                <w:ilvl w:val="0"/>
                <w:numId w:val="0"/>
              </w:numPr>
              <w:spacing w:after="0"/>
              <w:jc w:val="left"/>
            </w:pPr>
          </w:p>
        </w:tc>
        <w:tc>
          <w:tcPr>
            <w:tcW w:w="2769" w:type="dxa"/>
            <w:vAlign w:val="center"/>
          </w:tcPr>
          <w:p w14:paraId="533BD430" w14:textId="77777777" w:rsidR="00C01C52" w:rsidRPr="00E6500C" w:rsidRDefault="00F60FAA" w:rsidP="00C01C52">
            <w:pPr>
              <w:pStyle w:val="ListParagraph"/>
              <w:numPr>
                <w:ilvl w:val="0"/>
                <w:numId w:val="0"/>
              </w:numPr>
              <w:spacing w:after="0"/>
              <w:jc w:val="left"/>
            </w:pPr>
            <w:r w:rsidRPr="00E6500C">
              <w:t>Insurance Officer</w:t>
            </w:r>
          </w:p>
        </w:tc>
        <w:tc>
          <w:tcPr>
            <w:tcW w:w="4954" w:type="dxa"/>
            <w:vMerge/>
            <w:vAlign w:val="center"/>
          </w:tcPr>
          <w:p w14:paraId="533BD431" w14:textId="77777777" w:rsidR="00C01C52" w:rsidRPr="00E6500C" w:rsidRDefault="00F60FAA" w:rsidP="00C01C52">
            <w:pPr>
              <w:pStyle w:val="ListParagraph"/>
              <w:numPr>
                <w:ilvl w:val="0"/>
                <w:numId w:val="0"/>
              </w:numPr>
              <w:spacing w:after="0"/>
            </w:pPr>
          </w:p>
        </w:tc>
      </w:tr>
      <w:tr w:rsidR="002B7C48" w14:paraId="533BD436" w14:textId="77777777" w:rsidTr="00C01C52">
        <w:trPr>
          <w:trHeight w:val="70"/>
        </w:trPr>
        <w:tc>
          <w:tcPr>
            <w:tcW w:w="1831" w:type="dxa"/>
            <w:vMerge w:val="restart"/>
            <w:tcBorders>
              <w:bottom w:val="single" w:sz="4" w:space="0" w:color="auto"/>
            </w:tcBorders>
            <w:vAlign w:val="center"/>
          </w:tcPr>
          <w:p w14:paraId="533BD433" w14:textId="77777777" w:rsidR="00C01C52" w:rsidRPr="00E6500C" w:rsidRDefault="00F60FAA" w:rsidP="00C01C52">
            <w:pPr>
              <w:pStyle w:val="ListParagraph"/>
              <w:numPr>
                <w:ilvl w:val="0"/>
                <w:numId w:val="0"/>
              </w:numPr>
              <w:spacing w:after="0"/>
              <w:jc w:val="left"/>
            </w:pPr>
            <w:r w:rsidRPr="00E6500C">
              <w:t xml:space="preserve">Legal, HR &amp; </w:t>
            </w:r>
            <w:r w:rsidRPr="00E6500C">
              <w:t>Democratic Services</w:t>
            </w:r>
          </w:p>
        </w:tc>
        <w:tc>
          <w:tcPr>
            <w:tcW w:w="2769" w:type="dxa"/>
            <w:tcBorders>
              <w:bottom w:val="single" w:sz="4" w:space="0" w:color="auto"/>
            </w:tcBorders>
            <w:vAlign w:val="center"/>
          </w:tcPr>
          <w:p w14:paraId="533BD434" w14:textId="77777777" w:rsidR="00C01C52" w:rsidRPr="00E6500C" w:rsidRDefault="00F60FAA" w:rsidP="00C01C52">
            <w:pPr>
              <w:pStyle w:val="ListParagraph"/>
              <w:numPr>
                <w:ilvl w:val="0"/>
                <w:numId w:val="0"/>
              </w:numPr>
              <w:spacing w:after="0"/>
              <w:jc w:val="left"/>
            </w:pPr>
            <w:r w:rsidRPr="00E6500C">
              <w:t>Borough Solicitor</w:t>
            </w:r>
          </w:p>
        </w:tc>
        <w:tc>
          <w:tcPr>
            <w:tcW w:w="4954" w:type="dxa"/>
            <w:vMerge w:val="restart"/>
            <w:tcBorders>
              <w:bottom w:val="single" w:sz="4" w:space="0" w:color="auto"/>
            </w:tcBorders>
            <w:vAlign w:val="center"/>
          </w:tcPr>
          <w:p w14:paraId="533BD435" w14:textId="77777777" w:rsidR="00C01C52" w:rsidRPr="00E6500C" w:rsidRDefault="00F60FAA" w:rsidP="00C01C52">
            <w:pPr>
              <w:pStyle w:val="ListParagraph"/>
              <w:numPr>
                <w:ilvl w:val="0"/>
                <w:numId w:val="0"/>
              </w:numPr>
              <w:spacing w:after="0"/>
            </w:pPr>
            <w:r w:rsidRPr="00E6500C">
              <w:t>These posts will be deleted from 1</w:t>
            </w:r>
            <w:r w:rsidRPr="00E6500C">
              <w:rPr>
                <w:vertAlign w:val="superscript"/>
              </w:rPr>
              <w:t>st</w:t>
            </w:r>
            <w:r w:rsidRPr="00E6500C">
              <w:t xml:space="preserve"> April, to reflect the new shared services arrangements.</w:t>
            </w:r>
          </w:p>
        </w:tc>
      </w:tr>
      <w:tr w:rsidR="002B7C48" w14:paraId="533BD43A" w14:textId="77777777" w:rsidTr="00C01C52">
        <w:trPr>
          <w:trHeight w:val="340"/>
        </w:trPr>
        <w:tc>
          <w:tcPr>
            <w:tcW w:w="1831" w:type="dxa"/>
            <w:vMerge/>
            <w:vAlign w:val="center"/>
          </w:tcPr>
          <w:p w14:paraId="533BD437" w14:textId="77777777" w:rsidR="00C01C52" w:rsidRPr="00E6500C" w:rsidRDefault="00F60FAA" w:rsidP="00C01C52">
            <w:pPr>
              <w:pStyle w:val="ListParagraph"/>
              <w:numPr>
                <w:ilvl w:val="0"/>
                <w:numId w:val="0"/>
              </w:numPr>
              <w:spacing w:after="0"/>
              <w:jc w:val="left"/>
            </w:pPr>
          </w:p>
        </w:tc>
        <w:tc>
          <w:tcPr>
            <w:tcW w:w="2769" w:type="dxa"/>
            <w:vAlign w:val="center"/>
          </w:tcPr>
          <w:p w14:paraId="533BD438" w14:textId="77777777" w:rsidR="00C01C52" w:rsidRPr="00E6500C" w:rsidRDefault="00F60FAA" w:rsidP="00C01C52">
            <w:pPr>
              <w:pStyle w:val="ListParagraph"/>
              <w:numPr>
                <w:ilvl w:val="0"/>
                <w:numId w:val="0"/>
              </w:numPr>
              <w:spacing w:after="0"/>
              <w:jc w:val="left"/>
            </w:pPr>
            <w:r w:rsidRPr="00E6500C">
              <w:t>Head of Legal HR &amp; Democratic Services</w:t>
            </w:r>
          </w:p>
        </w:tc>
        <w:tc>
          <w:tcPr>
            <w:tcW w:w="4954" w:type="dxa"/>
            <w:vMerge/>
            <w:vAlign w:val="center"/>
          </w:tcPr>
          <w:p w14:paraId="533BD439" w14:textId="77777777" w:rsidR="00C01C52" w:rsidRPr="00E6500C" w:rsidRDefault="00F60FAA" w:rsidP="00C01C52">
            <w:pPr>
              <w:pStyle w:val="ListParagraph"/>
              <w:numPr>
                <w:ilvl w:val="0"/>
                <w:numId w:val="0"/>
              </w:numPr>
              <w:spacing w:after="0"/>
            </w:pPr>
          </w:p>
        </w:tc>
      </w:tr>
      <w:tr w:rsidR="002B7C48" w14:paraId="533BD43E" w14:textId="77777777" w:rsidTr="00C01C52">
        <w:trPr>
          <w:trHeight w:val="340"/>
        </w:trPr>
        <w:tc>
          <w:tcPr>
            <w:tcW w:w="1831" w:type="dxa"/>
            <w:vMerge w:val="restart"/>
            <w:vAlign w:val="center"/>
          </w:tcPr>
          <w:p w14:paraId="533BD43B" w14:textId="77777777" w:rsidR="00C01C52" w:rsidRPr="00E6500C" w:rsidRDefault="00F60FAA" w:rsidP="00C01C52">
            <w:pPr>
              <w:pStyle w:val="ListParagraph"/>
              <w:numPr>
                <w:ilvl w:val="0"/>
                <w:numId w:val="0"/>
              </w:numPr>
              <w:spacing w:after="0"/>
              <w:jc w:val="left"/>
            </w:pPr>
            <w:r w:rsidRPr="00E6500C">
              <w:t>Customer Experience &amp; Operations</w:t>
            </w:r>
          </w:p>
        </w:tc>
        <w:tc>
          <w:tcPr>
            <w:tcW w:w="2769" w:type="dxa"/>
            <w:vAlign w:val="center"/>
          </w:tcPr>
          <w:p w14:paraId="533BD43C" w14:textId="77777777" w:rsidR="00C01C52" w:rsidRPr="00E6500C" w:rsidRDefault="00F60FAA" w:rsidP="00C01C52">
            <w:pPr>
              <w:pStyle w:val="ListParagraph"/>
              <w:numPr>
                <w:ilvl w:val="0"/>
                <w:numId w:val="0"/>
              </w:numPr>
              <w:spacing w:after="0"/>
              <w:jc w:val="left"/>
            </w:pPr>
            <w:r w:rsidRPr="00E6500C">
              <w:t>Gateway Officer</w:t>
            </w:r>
          </w:p>
        </w:tc>
        <w:tc>
          <w:tcPr>
            <w:tcW w:w="4954" w:type="dxa"/>
            <w:vAlign w:val="center"/>
          </w:tcPr>
          <w:p w14:paraId="533BD43D" w14:textId="77777777" w:rsidR="00C01C52" w:rsidRPr="00E6500C" w:rsidRDefault="00F60FAA" w:rsidP="00C01C52">
            <w:pPr>
              <w:pStyle w:val="ListParagraph"/>
              <w:numPr>
                <w:ilvl w:val="0"/>
                <w:numId w:val="0"/>
              </w:numPr>
              <w:spacing w:after="0"/>
            </w:pPr>
            <w:r w:rsidRPr="00E6500C">
              <w:t xml:space="preserve">Vacant since </w:t>
            </w:r>
            <w:r>
              <w:t>01/12/19</w:t>
            </w:r>
          </w:p>
        </w:tc>
      </w:tr>
      <w:tr w:rsidR="002B7C48" w14:paraId="533BD442" w14:textId="77777777" w:rsidTr="00C01C52">
        <w:trPr>
          <w:trHeight w:val="340"/>
        </w:trPr>
        <w:tc>
          <w:tcPr>
            <w:tcW w:w="1831" w:type="dxa"/>
            <w:vMerge/>
            <w:vAlign w:val="center"/>
          </w:tcPr>
          <w:p w14:paraId="533BD43F" w14:textId="77777777" w:rsidR="00C01C52" w:rsidRPr="00E6500C" w:rsidRDefault="00F60FAA" w:rsidP="00C01C52">
            <w:pPr>
              <w:pStyle w:val="ListParagraph"/>
              <w:numPr>
                <w:ilvl w:val="0"/>
                <w:numId w:val="0"/>
              </w:numPr>
              <w:spacing w:after="0"/>
              <w:jc w:val="left"/>
            </w:pPr>
          </w:p>
        </w:tc>
        <w:tc>
          <w:tcPr>
            <w:tcW w:w="2769" w:type="dxa"/>
            <w:vAlign w:val="center"/>
          </w:tcPr>
          <w:p w14:paraId="533BD440" w14:textId="77777777" w:rsidR="00C01C52" w:rsidRPr="00E6500C" w:rsidRDefault="00F60FAA" w:rsidP="00C01C52">
            <w:pPr>
              <w:pStyle w:val="ListParagraph"/>
              <w:numPr>
                <w:ilvl w:val="0"/>
                <w:numId w:val="0"/>
              </w:numPr>
              <w:spacing w:after="0"/>
              <w:jc w:val="left"/>
            </w:pPr>
            <w:r w:rsidRPr="00E6500C">
              <w:t>Gateway Receptionist</w:t>
            </w:r>
          </w:p>
        </w:tc>
        <w:tc>
          <w:tcPr>
            <w:tcW w:w="4954" w:type="dxa"/>
            <w:vAlign w:val="center"/>
          </w:tcPr>
          <w:p w14:paraId="533BD441" w14:textId="77777777" w:rsidR="00C01C52" w:rsidRPr="00E6500C" w:rsidRDefault="00F60FAA" w:rsidP="00C01C52">
            <w:pPr>
              <w:pStyle w:val="ListParagraph"/>
              <w:numPr>
                <w:ilvl w:val="0"/>
                <w:numId w:val="0"/>
              </w:numPr>
              <w:spacing w:after="0"/>
            </w:pPr>
            <w:r>
              <w:t>Vacant since 01/11/19</w:t>
            </w:r>
          </w:p>
        </w:tc>
      </w:tr>
      <w:tr w:rsidR="002B7C48" w14:paraId="533BD446" w14:textId="77777777" w:rsidTr="00C01C52">
        <w:trPr>
          <w:trHeight w:val="340"/>
        </w:trPr>
        <w:tc>
          <w:tcPr>
            <w:tcW w:w="1831" w:type="dxa"/>
            <w:vMerge/>
            <w:vAlign w:val="center"/>
          </w:tcPr>
          <w:p w14:paraId="533BD443" w14:textId="77777777" w:rsidR="00C01C52" w:rsidRPr="00E6500C" w:rsidRDefault="00F60FAA" w:rsidP="00C01C52">
            <w:pPr>
              <w:pStyle w:val="ListParagraph"/>
              <w:numPr>
                <w:ilvl w:val="0"/>
                <w:numId w:val="0"/>
              </w:numPr>
              <w:spacing w:after="0"/>
              <w:jc w:val="left"/>
            </w:pPr>
          </w:p>
        </w:tc>
        <w:tc>
          <w:tcPr>
            <w:tcW w:w="2769" w:type="dxa"/>
            <w:vAlign w:val="center"/>
          </w:tcPr>
          <w:p w14:paraId="533BD444" w14:textId="77777777" w:rsidR="00C01C52" w:rsidRPr="00E6500C" w:rsidRDefault="00F60FAA" w:rsidP="00C01C52">
            <w:pPr>
              <w:pStyle w:val="ListParagraph"/>
              <w:numPr>
                <w:ilvl w:val="0"/>
                <w:numId w:val="0"/>
              </w:numPr>
              <w:spacing w:after="0"/>
              <w:jc w:val="left"/>
            </w:pPr>
            <w:r w:rsidRPr="00E6500C">
              <w:t>IT Security Support Officer</w:t>
            </w:r>
          </w:p>
        </w:tc>
        <w:tc>
          <w:tcPr>
            <w:tcW w:w="4954" w:type="dxa"/>
            <w:vAlign w:val="center"/>
          </w:tcPr>
          <w:p w14:paraId="533BD445" w14:textId="77777777" w:rsidR="00C01C52" w:rsidRPr="00AD5849" w:rsidRDefault="00F60FAA" w:rsidP="00C01C52">
            <w:pPr>
              <w:pStyle w:val="ListParagraph"/>
              <w:numPr>
                <w:ilvl w:val="0"/>
                <w:numId w:val="0"/>
              </w:numPr>
              <w:spacing w:after="0"/>
            </w:pPr>
            <w:r w:rsidRPr="00AD5849">
              <w:t xml:space="preserve">Vacant since 01/07/19, when a restructure was implemented.  The post has been advertised twice but there have not been suitable candidates to appoint.  </w:t>
            </w:r>
            <w:r>
              <w:t>The job description and advert are being revised, and the post will be advertised again in February.</w:t>
            </w:r>
          </w:p>
        </w:tc>
      </w:tr>
      <w:tr w:rsidR="002B7C48" w14:paraId="533BD44A" w14:textId="77777777" w:rsidTr="00C01C52">
        <w:trPr>
          <w:trHeight w:val="639"/>
        </w:trPr>
        <w:tc>
          <w:tcPr>
            <w:tcW w:w="1831" w:type="dxa"/>
            <w:vMerge/>
            <w:vAlign w:val="center"/>
          </w:tcPr>
          <w:p w14:paraId="533BD447" w14:textId="77777777" w:rsidR="00C01C52" w:rsidRPr="00E6500C" w:rsidRDefault="00F60FAA" w:rsidP="00C01C52">
            <w:pPr>
              <w:pStyle w:val="ListParagraph"/>
              <w:numPr>
                <w:ilvl w:val="0"/>
                <w:numId w:val="0"/>
              </w:numPr>
              <w:spacing w:after="0"/>
              <w:jc w:val="left"/>
            </w:pPr>
          </w:p>
        </w:tc>
        <w:tc>
          <w:tcPr>
            <w:tcW w:w="2769" w:type="dxa"/>
            <w:vAlign w:val="center"/>
          </w:tcPr>
          <w:p w14:paraId="533BD448" w14:textId="77777777" w:rsidR="00C01C52" w:rsidRDefault="00F60FAA" w:rsidP="00C01C52">
            <w:pPr>
              <w:pStyle w:val="ListParagraph"/>
              <w:numPr>
                <w:ilvl w:val="0"/>
                <w:numId w:val="0"/>
              </w:numPr>
              <w:spacing w:after="0"/>
              <w:jc w:val="left"/>
            </w:pPr>
            <w:r>
              <w:t>Revenues &amp; Benefits Officer</w:t>
            </w:r>
          </w:p>
        </w:tc>
        <w:tc>
          <w:tcPr>
            <w:tcW w:w="4954" w:type="dxa"/>
            <w:vAlign w:val="center"/>
          </w:tcPr>
          <w:p w14:paraId="533BD449" w14:textId="77777777" w:rsidR="00C01C52" w:rsidRDefault="00F60FAA" w:rsidP="00C01C52">
            <w:pPr>
              <w:pStyle w:val="ListParagraph"/>
              <w:numPr>
                <w:ilvl w:val="0"/>
                <w:numId w:val="0"/>
              </w:numPr>
              <w:spacing w:after="0"/>
            </w:pPr>
            <w:r>
              <w:t>Vacant since 21/09/19.  The post was being kept vacant while a restructure was being finalised.  It is now being recruited to.</w:t>
            </w:r>
          </w:p>
        </w:tc>
      </w:tr>
    </w:tbl>
    <w:p w14:paraId="533BD44B" w14:textId="77777777" w:rsidR="00C01C52" w:rsidRDefault="00F60FAA" w:rsidP="00C01C52">
      <w:pPr>
        <w:pStyle w:val="ListParagraph"/>
        <w:numPr>
          <w:ilvl w:val="0"/>
          <w:numId w:val="0"/>
        </w:numPr>
        <w:ind w:left="357"/>
      </w:pPr>
    </w:p>
    <w:p w14:paraId="533BD44C" w14:textId="77777777" w:rsidR="00C01C52" w:rsidRPr="00A57444" w:rsidRDefault="00F60FAA" w:rsidP="00C01C52">
      <w:pPr>
        <w:pStyle w:val="ListParagraph"/>
        <w:ind w:left="357" w:hanging="357"/>
      </w:pPr>
      <w:r>
        <w:t>The main variances across the directorates are summarised below:</w:t>
      </w:r>
    </w:p>
    <w:p w14:paraId="533BD44D" w14:textId="77777777" w:rsidR="00C01C52" w:rsidRDefault="00F60FAA" w:rsidP="00C01C52">
      <w:pPr>
        <w:pStyle w:val="ListParagraph"/>
        <w:numPr>
          <w:ilvl w:val="0"/>
          <w:numId w:val="8"/>
        </w:numPr>
        <w:ind w:left="811" w:hanging="357"/>
      </w:pPr>
      <w:r>
        <w:t xml:space="preserve">Chief Executive – Overall the </w:t>
      </w:r>
      <w:r>
        <w:t xml:space="preserve">variance is a small underspend of £3,000.  There are additional costs for the Interim Chief </w:t>
      </w:r>
      <w:proofErr w:type="gramStart"/>
      <w:r>
        <w:t>Executive</w:t>
      </w:r>
      <w:proofErr w:type="gramEnd"/>
      <w:r>
        <w:t xml:space="preserve"> but these are offset by savings against the vacant Deputy Chief Executive posts.  There is a saving in the Policy and Performance team due to a post not b</w:t>
      </w:r>
      <w:r>
        <w:t>eing filled until recently, at being at a lower grade than budgeted, which is offsetting the cost of a new Communications Officer.</w:t>
      </w:r>
    </w:p>
    <w:p w14:paraId="533BD44E" w14:textId="77777777" w:rsidR="00C01C52" w:rsidRDefault="00F60FAA" w:rsidP="00C01C52">
      <w:pPr>
        <w:pStyle w:val="ListParagraph"/>
        <w:numPr>
          <w:ilvl w:val="0"/>
          <w:numId w:val="8"/>
        </w:numPr>
        <w:ind w:left="811" w:hanging="357"/>
      </w:pPr>
      <w:r>
        <w:t>Neighbourhoods and Development – Overall the variance is a small overspend of £1,000.  There is an additional cost for the ne</w:t>
      </w:r>
      <w:r>
        <w:t>w Environmental Health Officer (Climate Change) but this is offset by underspends against posts that were vacant earlier in the year.</w:t>
      </w:r>
    </w:p>
    <w:p w14:paraId="533BD44F" w14:textId="77777777" w:rsidR="00C01C52" w:rsidRPr="005A791D" w:rsidRDefault="00F60FAA" w:rsidP="00C01C52">
      <w:pPr>
        <w:pStyle w:val="ListParagraph"/>
        <w:numPr>
          <w:ilvl w:val="0"/>
          <w:numId w:val="8"/>
        </w:numPr>
        <w:ind w:left="811" w:hanging="357"/>
      </w:pPr>
      <w:r w:rsidRPr="005A791D">
        <w:t xml:space="preserve">Planning and Property </w:t>
      </w:r>
      <w:r>
        <w:t>– The two areas with underspends are Apprentices and Planning.  T</w:t>
      </w:r>
      <w:r w:rsidRPr="005A791D">
        <w:t xml:space="preserve">he corporate apprenticeship posts, </w:t>
      </w:r>
      <w:r w:rsidRPr="005A791D">
        <w:t xml:space="preserve">which sit in this directorate, </w:t>
      </w:r>
      <w:r>
        <w:t>have been recruited to during the year but there is a part-year saving of £60,000 due to the period that they were vacant.  The P</w:t>
      </w:r>
      <w:r w:rsidRPr="005A791D">
        <w:t>lanning team</w:t>
      </w:r>
      <w:r>
        <w:t xml:space="preserve"> has undergone a </w:t>
      </w:r>
      <w:proofErr w:type="gramStart"/>
      <w:r>
        <w:t>restructure</w:t>
      </w:r>
      <w:proofErr w:type="gramEnd"/>
      <w:r>
        <w:t xml:space="preserve"> but some posts were not filled until quite recently.  T</w:t>
      </w:r>
      <w:r>
        <w:t xml:space="preserve">here are currently two vacancies.  An Enforcement Officer post is being kept vacant to determine whether the role is needed on an ongoing basis or could be taken as a saving.  The other vacancy is the Planning Technical Support Supervisor.  The forecasted </w:t>
      </w:r>
      <w:r>
        <w:t>underspend in relation to Planning is £76,000.</w:t>
      </w:r>
    </w:p>
    <w:p w14:paraId="533BD450" w14:textId="77777777" w:rsidR="00C01C52" w:rsidRDefault="00F60FAA" w:rsidP="00C01C52">
      <w:pPr>
        <w:pStyle w:val="ListParagraph"/>
        <w:numPr>
          <w:ilvl w:val="0"/>
          <w:numId w:val="8"/>
        </w:numPr>
        <w:ind w:left="811" w:hanging="357"/>
      </w:pPr>
      <w:r>
        <w:t>Finance &amp; A</w:t>
      </w:r>
      <w:r w:rsidRPr="00706E7B">
        <w:t>ssurance</w:t>
      </w:r>
      <w:r>
        <w:t xml:space="preserve"> – There is an underspend of £63,000 against the shared senior management posts.  The Assistant Director role is now filled but the Director role will not be filled this financial year.  How</w:t>
      </w:r>
      <w:r>
        <w:t>ever, these underspends have been outweighed by additional costs for the Interim Head of Shared Assurance and other temporary arrangements in that team of £79,000 and additional costs for financial services of £48,000 also due to interim staffing arrangeme</w:t>
      </w:r>
      <w:r>
        <w:t>nts.</w:t>
      </w:r>
    </w:p>
    <w:p w14:paraId="533BD451" w14:textId="77777777" w:rsidR="00C01C52" w:rsidRPr="00A57A2C" w:rsidRDefault="00F60FAA" w:rsidP="00C01C52">
      <w:pPr>
        <w:pStyle w:val="ListParagraph"/>
        <w:numPr>
          <w:ilvl w:val="0"/>
          <w:numId w:val="8"/>
        </w:numPr>
        <w:ind w:left="811" w:hanging="357"/>
      </w:pPr>
      <w:r w:rsidRPr="00706E7B">
        <w:lastRenderedPageBreak/>
        <w:t xml:space="preserve">Legal, HR &amp; Democratic </w:t>
      </w:r>
      <w:r>
        <w:t>S</w:t>
      </w:r>
      <w:r w:rsidRPr="00706E7B">
        <w:t xml:space="preserve">ervices </w:t>
      </w:r>
      <w:r>
        <w:t>– There is a total underspend of £118,000 against the shared senior management posts, due to vacancies.  There have been some offsetting additional costs for additional HR support of £24,000 but there is still a large o</w:t>
      </w:r>
      <w:r>
        <w:t>verall underspend.</w:t>
      </w:r>
    </w:p>
    <w:p w14:paraId="533BD452" w14:textId="77777777" w:rsidR="00C01C52" w:rsidRPr="00063B41" w:rsidRDefault="00F60FAA" w:rsidP="00C01C52">
      <w:pPr>
        <w:pStyle w:val="ListParagraph"/>
        <w:numPr>
          <w:ilvl w:val="0"/>
          <w:numId w:val="8"/>
        </w:numPr>
        <w:ind w:left="811" w:hanging="357"/>
      </w:pPr>
      <w:r w:rsidRPr="00A57444">
        <w:t xml:space="preserve">Customer </w:t>
      </w:r>
      <w:r>
        <w:t>Experience &amp; Operations</w:t>
      </w:r>
      <w:r w:rsidRPr="00A57444">
        <w:t xml:space="preserve"> </w:t>
      </w:r>
      <w:r>
        <w:t>– There is an underspend of £83,000 in the Gateway team due to several posts being vacant during the year.  Several posts have been filled but there are currently two vacancies in the team.  There is a ne</w:t>
      </w:r>
      <w:r>
        <w:t xml:space="preserve">t budget overspend of £36,000 in ICT due to </w:t>
      </w:r>
      <w:r w:rsidRPr="00063B41">
        <w:t>one-off pension cost</w:t>
      </w:r>
      <w:r>
        <w:t>s fo</w:t>
      </w:r>
      <w:r w:rsidRPr="00063B41">
        <w:t>r an employee that is retiring</w:t>
      </w:r>
      <w:r>
        <w:t xml:space="preserve">, partly offset by turnover vacancies. The one-off costs are being paid back through retaining a vacancy for a fixed period.  </w:t>
      </w:r>
    </w:p>
    <w:p w14:paraId="533BD453" w14:textId="77777777" w:rsidR="00C01C52" w:rsidRDefault="00F60FAA" w:rsidP="00C01C52">
      <w:pPr>
        <w:pStyle w:val="Heading2"/>
      </w:pPr>
      <w:r>
        <w:t>Other Cost variations</w:t>
      </w:r>
    </w:p>
    <w:p w14:paraId="533BD454" w14:textId="77777777" w:rsidR="00C01C52" w:rsidRDefault="00F60FAA" w:rsidP="00C01C52">
      <w:pPr>
        <w:pStyle w:val="ListParagraph"/>
      </w:pPr>
      <w:r w:rsidRPr="00B3629D">
        <w:t>The net c</w:t>
      </w:r>
      <w:r w:rsidRPr="00B3629D">
        <w:t>ost of £108,000 in relation to the waste contract is a result of increases in relation to pay</w:t>
      </w:r>
      <w:r w:rsidRPr="00F1759C">
        <w:t xml:space="preserve"> inflation £147,000, offset by the recovery of replacement bin costs </w:t>
      </w:r>
      <w:r>
        <w:t>£39,</w:t>
      </w:r>
      <w:r w:rsidRPr="00F1759C">
        <w:t>000</w:t>
      </w:r>
      <w:r>
        <w:t>. These costs include backdated adjustments for previous years. The pay adjustments ref</w:t>
      </w:r>
      <w:r>
        <w:t>lect the impact of the NJC pay awards on individual pay points, which for the FCC employees works out higher than the average pay increase previously applied. The waste contract includes an annual provision for the cost of bin replacements. As the actual c</w:t>
      </w:r>
      <w:r>
        <w:t>ost of bin replacements has been less than this provision, the overpayment has been recovered from FCC.</w:t>
      </w:r>
    </w:p>
    <w:p w14:paraId="533BD456" w14:textId="09F70774" w:rsidR="00C01C52" w:rsidRDefault="00F60FAA" w:rsidP="00C01C52">
      <w:r>
        <w:t xml:space="preserve">Other cost increases include vehicle </w:t>
      </w:r>
      <w:r w:rsidRPr="00C01C52">
        <w:t xml:space="preserve">hire </w:t>
      </w:r>
      <w:r>
        <w:t xml:space="preserve">costs </w:t>
      </w:r>
      <w:r w:rsidRPr="00C01C52">
        <w:t xml:space="preserve">due to </w:t>
      </w:r>
      <w:r>
        <w:t>refuse vehicle to</w:t>
      </w:r>
      <w:r w:rsidRPr="00C01C52">
        <w:t xml:space="preserve"> be replaced this year having essential bodywork repairs to keep them roadworthy</w:t>
      </w:r>
      <w:r w:rsidRPr="00C01C52">
        <w:t xml:space="preserve"> until the new ones begin service</w:t>
      </w:r>
      <w:r>
        <w:t>, election costs and pressures on the ICT budget</w:t>
      </w:r>
      <w:r>
        <w:t xml:space="preserve">. </w:t>
      </w:r>
    </w:p>
    <w:p w14:paraId="533BD457" w14:textId="77777777" w:rsidR="00C01C52" w:rsidRPr="00067444" w:rsidRDefault="00F60FAA" w:rsidP="00C01C52">
      <w:pPr>
        <w:spacing w:after="120"/>
        <w:ind w:left="714" w:hanging="357"/>
        <w:outlineLvl w:val="1"/>
        <w:rPr>
          <w:b/>
          <w:color w:val="0070C0"/>
        </w:rPr>
      </w:pPr>
      <w:r w:rsidRPr="00067444">
        <w:rPr>
          <w:b/>
          <w:color w:val="0070C0"/>
        </w:rPr>
        <w:t xml:space="preserve">Business Rates </w:t>
      </w:r>
    </w:p>
    <w:p w14:paraId="533BD458" w14:textId="77777777" w:rsidR="00C01C52" w:rsidRPr="00067444" w:rsidRDefault="00F60FAA" w:rsidP="00C01C52">
      <w:pPr>
        <w:pStyle w:val="ListParagraph"/>
        <w:ind w:left="454" w:hanging="454"/>
      </w:pPr>
      <w:r w:rsidRPr="00067444">
        <w:t>The business rates budget forecasts for 2019/20 have been reviewed based on the latest available data. Some elements of the business rates budget are fixed and therefore can be forecast with certainty; while other elements (such as Government S31 grants) a</w:t>
      </w:r>
      <w:r w:rsidRPr="00067444">
        <w:t xml:space="preserve">re variable and can produce in-year variations. The purpose of the Business Rates Retention Reserve is to mitigate the impact of any in-year fluctuations.    </w:t>
      </w:r>
    </w:p>
    <w:p w14:paraId="533BD459" w14:textId="77777777" w:rsidR="00C01C52" w:rsidRPr="00067444" w:rsidRDefault="00F60FAA" w:rsidP="00C01C52">
      <w:pPr>
        <w:pStyle w:val="ListParagraph"/>
        <w:ind w:left="454" w:hanging="454"/>
      </w:pPr>
      <w:r w:rsidRPr="00067444">
        <w:t>The current forecast is unchanged overall from that reported in September, which showed a net inc</w:t>
      </w:r>
      <w:r w:rsidRPr="00067444">
        <w:t xml:space="preserve">rease of £280,000 compared to the original budget for the year. This was driven by a higher than originally expected entitlement to Section 31 Grants and the latest figures indicate that this level of income will be achieved. A small reduction is shown in </w:t>
      </w:r>
      <w:r w:rsidRPr="00067444">
        <w:t xml:space="preserve">the income forecast to be collected in respect of the Lancashire Enterprise Zone at </w:t>
      </w:r>
      <w:proofErr w:type="spellStart"/>
      <w:r w:rsidRPr="00067444">
        <w:t>Samlesbury</w:t>
      </w:r>
      <w:proofErr w:type="spellEnd"/>
      <w:r w:rsidRPr="00067444">
        <w:t>, but this is wholly payable to the Lancashire Enterprise Partnership and so there is no impact on the overall net amount for the year.</w:t>
      </w:r>
    </w:p>
    <w:p w14:paraId="533BD45A" w14:textId="77777777" w:rsidR="00C01C52" w:rsidRDefault="00F60FAA">
      <w:pPr>
        <w:spacing w:after="160" w:line="259" w:lineRule="auto"/>
        <w:jc w:val="left"/>
      </w:pPr>
      <w:r>
        <w:br w:type="page"/>
      </w:r>
    </w:p>
    <w:p w14:paraId="533BD45B" w14:textId="77777777" w:rsidR="00C01C52" w:rsidRPr="00067444" w:rsidRDefault="00F60FAA" w:rsidP="00C01C52">
      <w:pPr>
        <w:ind w:left="1068" w:hanging="360"/>
      </w:pPr>
    </w:p>
    <w:tbl>
      <w:tblPr>
        <w:tblStyle w:val="TableGrid"/>
        <w:tblW w:w="8920" w:type="dxa"/>
        <w:tblInd w:w="714" w:type="dxa"/>
        <w:tblLayout w:type="fixed"/>
        <w:tblLook w:val="04A0" w:firstRow="1" w:lastRow="0" w:firstColumn="1" w:lastColumn="0" w:noHBand="0" w:noVBand="1"/>
      </w:tblPr>
      <w:tblGrid>
        <w:gridCol w:w="4243"/>
        <w:gridCol w:w="1559"/>
        <w:gridCol w:w="1559"/>
        <w:gridCol w:w="1559"/>
      </w:tblGrid>
      <w:tr w:rsidR="002B7C48" w14:paraId="533BD465" w14:textId="77777777" w:rsidTr="00C01C52">
        <w:trPr>
          <w:trHeight w:val="340"/>
        </w:trPr>
        <w:tc>
          <w:tcPr>
            <w:tcW w:w="4243" w:type="dxa"/>
            <w:tcBorders>
              <w:bottom w:val="single" w:sz="4" w:space="0" w:color="auto"/>
            </w:tcBorders>
            <w:shd w:val="clear" w:color="auto" w:fill="D9D9D9" w:themeFill="background1" w:themeFillShade="D9"/>
            <w:vAlign w:val="center"/>
          </w:tcPr>
          <w:p w14:paraId="533BD45C" w14:textId="77777777" w:rsidR="00C01C52" w:rsidRPr="00067444" w:rsidRDefault="00F60FAA" w:rsidP="00C01C52">
            <w:pPr>
              <w:rPr>
                <w:b/>
              </w:rPr>
            </w:pPr>
            <w:r w:rsidRPr="00067444">
              <w:rPr>
                <w:b/>
              </w:rPr>
              <w:t xml:space="preserve">Business Rates </w:t>
            </w:r>
            <w:r w:rsidRPr="00067444">
              <w:rPr>
                <w:b/>
              </w:rPr>
              <w:t>Retention Budget</w:t>
            </w:r>
          </w:p>
        </w:tc>
        <w:tc>
          <w:tcPr>
            <w:tcW w:w="1559" w:type="dxa"/>
            <w:tcBorders>
              <w:bottom w:val="single" w:sz="4" w:space="0" w:color="auto"/>
            </w:tcBorders>
            <w:shd w:val="clear" w:color="auto" w:fill="D9D9D9" w:themeFill="background1" w:themeFillShade="D9"/>
            <w:vAlign w:val="center"/>
          </w:tcPr>
          <w:p w14:paraId="533BD45D" w14:textId="77777777" w:rsidR="00C01C52" w:rsidRPr="00067444" w:rsidRDefault="00F60FAA" w:rsidP="00C01C52">
            <w:pPr>
              <w:jc w:val="center"/>
              <w:rPr>
                <w:b/>
              </w:rPr>
            </w:pPr>
            <w:r w:rsidRPr="00067444">
              <w:rPr>
                <w:b/>
              </w:rPr>
              <w:t>Budget</w:t>
            </w:r>
          </w:p>
          <w:p w14:paraId="533BD45E" w14:textId="77777777" w:rsidR="00C01C52" w:rsidRPr="00067444" w:rsidRDefault="00F60FAA" w:rsidP="00C01C52">
            <w:pPr>
              <w:jc w:val="center"/>
              <w:rPr>
                <w:b/>
              </w:rPr>
            </w:pPr>
            <w:r w:rsidRPr="00067444">
              <w:rPr>
                <w:b/>
              </w:rPr>
              <w:t>£’000</w:t>
            </w:r>
          </w:p>
        </w:tc>
        <w:tc>
          <w:tcPr>
            <w:tcW w:w="1559" w:type="dxa"/>
            <w:tcBorders>
              <w:bottom w:val="single" w:sz="4" w:space="0" w:color="auto"/>
            </w:tcBorders>
            <w:shd w:val="clear" w:color="auto" w:fill="D9D9D9" w:themeFill="background1" w:themeFillShade="D9"/>
            <w:vAlign w:val="center"/>
          </w:tcPr>
          <w:p w14:paraId="533BD45F" w14:textId="77777777" w:rsidR="00C01C52" w:rsidRPr="00067444" w:rsidRDefault="00F60FAA" w:rsidP="00C01C52">
            <w:pPr>
              <w:jc w:val="center"/>
              <w:rPr>
                <w:b/>
              </w:rPr>
            </w:pPr>
            <w:r w:rsidRPr="00067444">
              <w:rPr>
                <w:b/>
              </w:rPr>
              <w:t>Forecast</w:t>
            </w:r>
          </w:p>
          <w:p w14:paraId="533BD460" w14:textId="77777777" w:rsidR="00C01C52" w:rsidRPr="00067444" w:rsidRDefault="00F60FAA" w:rsidP="00C01C52">
            <w:pPr>
              <w:jc w:val="center"/>
              <w:rPr>
                <w:b/>
              </w:rPr>
            </w:pPr>
            <w:r w:rsidRPr="00067444">
              <w:rPr>
                <w:b/>
              </w:rPr>
              <w:t>Outturn</w:t>
            </w:r>
          </w:p>
          <w:p w14:paraId="533BD461" w14:textId="77777777" w:rsidR="00C01C52" w:rsidRPr="00067444" w:rsidRDefault="00F60FAA" w:rsidP="00C01C52">
            <w:pPr>
              <w:jc w:val="center"/>
              <w:rPr>
                <w:b/>
              </w:rPr>
            </w:pPr>
            <w:r w:rsidRPr="00067444">
              <w:rPr>
                <w:b/>
              </w:rPr>
              <w:t>£’000</w:t>
            </w:r>
          </w:p>
        </w:tc>
        <w:tc>
          <w:tcPr>
            <w:tcW w:w="1559" w:type="dxa"/>
            <w:tcBorders>
              <w:bottom w:val="single" w:sz="4" w:space="0" w:color="auto"/>
            </w:tcBorders>
            <w:shd w:val="clear" w:color="auto" w:fill="D9D9D9" w:themeFill="background1" w:themeFillShade="D9"/>
            <w:vAlign w:val="center"/>
          </w:tcPr>
          <w:p w14:paraId="533BD462" w14:textId="77777777" w:rsidR="00C01C52" w:rsidRPr="00067444" w:rsidRDefault="00F60FAA" w:rsidP="00C01C52">
            <w:pPr>
              <w:jc w:val="center"/>
              <w:rPr>
                <w:b/>
              </w:rPr>
            </w:pPr>
            <w:r w:rsidRPr="00067444">
              <w:rPr>
                <w:b/>
              </w:rPr>
              <w:t>Forecast</w:t>
            </w:r>
          </w:p>
          <w:p w14:paraId="533BD463" w14:textId="77777777" w:rsidR="00C01C52" w:rsidRPr="00067444" w:rsidRDefault="00F60FAA" w:rsidP="00C01C52">
            <w:pPr>
              <w:jc w:val="center"/>
              <w:rPr>
                <w:b/>
              </w:rPr>
            </w:pPr>
            <w:r w:rsidRPr="00067444">
              <w:rPr>
                <w:b/>
              </w:rPr>
              <w:t>Variance</w:t>
            </w:r>
          </w:p>
          <w:p w14:paraId="533BD464" w14:textId="77777777" w:rsidR="00C01C52" w:rsidRPr="00067444" w:rsidRDefault="00F60FAA" w:rsidP="00C01C52">
            <w:pPr>
              <w:jc w:val="center"/>
              <w:rPr>
                <w:b/>
              </w:rPr>
            </w:pPr>
            <w:r w:rsidRPr="00067444">
              <w:rPr>
                <w:b/>
              </w:rPr>
              <w:t>£’000</w:t>
            </w:r>
          </w:p>
        </w:tc>
      </w:tr>
      <w:tr w:rsidR="002B7C48" w14:paraId="533BD46A" w14:textId="77777777" w:rsidTr="00C01C52">
        <w:trPr>
          <w:trHeight w:val="340"/>
        </w:trPr>
        <w:tc>
          <w:tcPr>
            <w:tcW w:w="4243" w:type="dxa"/>
            <w:tcBorders>
              <w:bottom w:val="single" w:sz="4" w:space="0" w:color="BFBFBF" w:themeColor="background1" w:themeShade="BF"/>
              <w:right w:val="single" w:sz="4" w:space="0" w:color="BFBFBF" w:themeColor="background1" w:themeShade="BF"/>
            </w:tcBorders>
            <w:vAlign w:val="center"/>
          </w:tcPr>
          <w:p w14:paraId="533BD466" w14:textId="77777777" w:rsidR="00C01C52" w:rsidRPr="00067444" w:rsidRDefault="00F60FAA" w:rsidP="00C01C52">
            <w:pPr>
              <w:rPr>
                <w:b/>
              </w:rPr>
            </w:pPr>
            <w:r w:rsidRPr="00067444">
              <w:rPr>
                <w:b/>
              </w:rPr>
              <w:t>Expenditure</w:t>
            </w: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67" w14:textId="77777777" w:rsidR="00C01C52" w:rsidRPr="00067444" w:rsidRDefault="00F60FAA" w:rsidP="00C01C52"/>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68" w14:textId="77777777" w:rsidR="00C01C52" w:rsidRPr="00067444" w:rsidRDefault="00F60FAA" w:rsidP="00C01C52"/>
        </w:tc>
        <w:tc>
          <w:tcPr>
            <w:tcW w:w="1559" w:type="dxa"/>
            <w:tcBorders>
              <w:left w:val="single" w:sz="4" w:space="0" w:color="BFBFBF" w:themeColor="background1" w:themeShade="BF"/>
              <w:bottom w:val="single" w:sz="4" w:space="0" w:color="BFBFBF" w:themeColor="background1" w:themeShade="BF"/>
            </w:tcBorders>
            <w:tcMar>
              <w:right w:w="284" w:type="dxa"/>
            </w:tcMar>
            <w:vAlign w:val="center"/>
          </w:tcPr>
          <w:p w14:paraId="533BD469" w14:textId="77777777" w:rsidR="00C01C52" w:rsidRPr="00067444" w:rsidRDefault="00F60FAA" w:rsidP="00C01C52"/>
        </w:tc>
      </w:tr>
      <w:tr w:rsidR="002B7C48" w14:paraId="533BD46F" w14:textId="77777777" w:rsidTr="00C01C52">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BD46B" w14:textId="77777777" w:rsidR="00C01C52" w:rsidRPr="00067444" w:rsidRDefault="00F60FAA" w:rsidP="00C01C52">
            <w:r w:rsidRPr="00067444">
              <w:t>Tariff paid to Pool</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6C" w14:textId="77777777" w:rsidR="00C01C52" w:rsidRPr="00067444" w:rsidRDefault="00F60FAA" w:rsidP="00C01C52">
            <w:pPr>
              <w:jc w:val="right"/>
            </w:pPr>
            <w:r w:rsidRPr="00067444">
              <w:t>15,150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6D" w14:textId="77777777" w:rsidR="00C01C52" w:rsidRPr="00067444" w:rsidRDefault="00F60FAA" w:rsidP="00C01C52">
            <w:pPr>
              <w:jc w:val="right"/>
            </w:pPr>
            <w:r w:rsidRPr="00067444">
              <w:t>15,150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533BD46E" w14:textId="77777777" w:rsidR="00C01C52" w:rsidRPr="00067444" w:rsidRDefault="00F60FAA" w:rsidP="00C01C52">
            <w:pPr>
              <w:jc w:val="right"/>
            </w:pPr>
            <w:r w:rsidRPr="00067444">
              <w:t>0</w:t>
            </w:r>
          </w:p>
        </w:tc>
      </w:tr>
      <w:tr w:rsidR="002B7C48" w14:paraId="533BD474" w14:textId="77777777" w:rsidTr="00C01C52">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BD470" w14:textId="77777777" w:rsidR="00C01C52" w:rsidRPr="00067444" w:rsidRDefault="00F60FAA" w:rsidP="00C01C52">
            <w:r w:rsidRPr="00067444">
              <w:t>Payment re Enterprise Zone (19/20)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71" w14:textId="77777777" w:rsidR="00C01C52" w:rsidRPr="00067444" w:rsidRDefault="00F60FAA" w:rsidP="00C01C52">
            <w:pPr>
              <w:jc w:val="right"/>
            </w:pPr>
            <w:r w:rsidRPr="00067444">
              <w:t>174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72" w14:textId="77777777" w:rsidR="00C01C52" w:rsidRPr="00067444" w:rsidRDefault="00F60FAA" w:rsidP="00C01C52">
            <w:pPr>
              <w:jc w:val="right"/>
            </w:pPr>
            <w:r w:rsidRPr="00067444">
              <w:t>167</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533BD473" w14:textId="77777777" w:rsidR="00C01C52" w:rsidRPr="00067444" w:rsidRDefault="00F60FAA" w:rsidP="00C01C52">
            <w:pPr>
              <w:jc w:val="right"/>
            </w:pPr>
            <w:r w:rsidRPr="00067444">
              <w:t>(7)</w:t>
            </w:r>
          </w:p>
        </w:tc>
      </w:tr>
      <w:tr w:rsidR="002B7C48" w14:paraId="533BD479" w14:textId="77777777" w:rsidTr="00C01C52">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BD475" w14:textId="77777777" w:rsidR="00C01C52" w:rsidRPr="00067444" w:rsidRDefault="00F60FAA" w:rsidP="00C01C52">
            <w:r w:rsidRPr="00067444">
              <w:t xml:space="preserve">Payments to </w:t>
            </w:r>
            <w:proofErr w:type="spellStart"/>
            <w:r w:rsidRPr="00067444">
              <w:t>Lancs</w:t>
            </w:r>
            <w:proofErr w:type="spellEnd"/>
            <w:r w:rsidRPr="00067444">
              <w:t xml:space="preserve"> Wide Fund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76" w14:textId="77777777" w:rsidR="00C01C52" w:rsidRPr="00067444" w:rsidRDefault="00F60FAA" w:rsidP="00C01C52">
            <w:pPr>
              <w:jc w:val="right"/>
            </w:pPr>
            <w:r w:rsidRPr="00067444">
              <w:t>286</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77" w14:textId="77777777" w:rsidR="00C01C52" w:rsidRPr="00067444" w:rsidRDefault="00F60FAA" w:rsidP="00C01C52">
            <w:pPr>
              <w:jc w:val="right"/>
            </w:pPr>
            <w:r w:rsidRPr="00067444">
              <w:t>244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533BD478" w14:textId="77777777" w:rsidR="00C01C52" w:rsidRPr="00067444" w:rsidRDefault="00F60FAA" w:rsidP="00C01C52">
            <w:pPr>
              <w:jc w:val="right"/>
            </w:pPr>
            <w:r w:rsidRPr="00067444">
              <w:t>(42)</w:t>
            </w:r>
          </w:p>
        </w:tc>
      </w:tr>
      <w:tr w:rsidR="002B7C48" w14:paraId="533BD47E" w14:textId="77777777" w:rsidTr="00C01C52">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BD47A" w14:textId="77777777" w:rsidR="00C01C52" w:rsidRPr="00067444" w:rsidRDefault="00F60FAA" w:rsidP="00C01C52">
            <w:r w:rsidRPr="00067444">
              <w:t>Payment to Resilience Fund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7B" w14:textId="77777777" w:rsidR="00C01C52" w:rsidRPr="00067444" w:rsidRDefault="00F60FAA" w:rsidP="00C01C52">
            <w:pPr>
              <w:jc w:val="right"/>
            </w:pPr>
            <w:r w:rsidRPr="00067444">
              <w:t>57</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7C" w14:textId="77777777" w:rsidR="00C01C52" w:rsidRPr="00067444" w:rsidRDefault="00F60FAA" w:rsidP="00C01C52">
            <w:pPr>
              <w:jc w:val="right"/>
            </w:pPr>
            <w:r w:rsidRPr="00067444">
              <w:t>49</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533BD47D" w14:textId="77777777" w:rsidR="00C01C52" w:rsidRPr="00067444" w:rsidRDefault="00F60FAA" w:rsidP="00C01C52">
            <w:pPr>
              <w:jc w:val="right"/>
            </w:pPr>
            <w:r w:rsidRPr="00067444">
              <w:t>(8)</w:t>
            </w:r>
          </w:p>
        </w:tc>
      </w:tr>
      <w:tr w:rsidR="002B7C48" w14:paraId="533BD483" w14:textId="77777777" w:rsidTr="00C01C52">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BD47F" w14:textId="77777777" w:rsidR="00C01C52" w:rsidRPr="00067444" w:rsidRDefault="00F60FAA" w:rsidP="00C01C52">
            <w:pPr>
              <w:rPr>
                <w:b/>
              </w:rPr>
            </w:pPr>
            <w:r w:rsidRPr="00067444">
              <w:rPr>
                <w:b/>
              </w:rPr>
              <w:t>Income</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80" w14:textId="77777777" w:rsidR="00C01C52" w:rsidRPr="00067444" w:rsidRDefault="00F60FAA" w:rsidP="00C01C52">
            <w:pPr>
              <w:jc w:val="right"/>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81" w14:textId="77777777" w:rsidR="00C01C52" w:rsidRPr="00067444" w:rsidRDefault="00F60FAA" w:rsidP="00C01C52">
            <w:pPr>
              <w:jc w:val="right"/>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533BD482" w14:textId="77777777" w:rsidR="00C01C52" w:rsidRPr="00067444" w:rsidRDefault="00F60FAA" w:rsidP="00C01C52">
            <w:pPr>
              <w:jc w:val="right"/>
            </w:pPr>
          </w:p>
        </w:tc>
      </w:tr>
      <w:tr w:rsidR="002B7C48" w14:paraId="533BD488" w14:textId="77777777" w:rsidTr="00C01C52">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BD484" w14:textId="77777777" w:rsidR="00C01C52" w:rsidRPr="00067444" w:rsidRDefault="00F60FAA" w:rsidP="00C01C52">
            <w:r w:rsidRPr="00067444">
              <w:t>Local share of business rates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85" w14:textId="77777777" w:rsidR="00C01C52" w:rsidRPr="00067444" w:rsidRDefault="00F60FAA" w:rsidP="00C01C52">
            <w:pPr>
              <w:jc w:val="right"/>
            </w:pPr>
            <w:r w:rsidRPr="00067444">
              <w:t>(19,220)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86" w14:textId="77777777" w:rsidR="00C01C52" w:rsidRPr="00067444" w:rsidRDefault="00F60FAA" w:rsidP="00C01C52">
            <w:pPr>
              <w:jc w:val="right"/>
            </w:pPr>
            <w:r w:rsidRPr="00067444">
              <w:t>(19,095)</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533BD487" w14:textId="77777777" w:rsidR="00C01C52" w:rsidRPr="00067444" w:rsidRDefault="00F60FAA" w:rsidP="00C01C52">
            <w:pPr>
              <w:jc w:val="right"/>
            </w:pPr>
            <w:r w:rsidRPr="00067444">
              <w:t>125</w:t>
            </w:r>
          </w:p>
        </w:tc>
      </w:tr>
      <w:tr w:rsidR="002B7C48" w14:paraId="533BD48D" w14:textId="77777777" w:rsidTr="00C01C52">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BD489" w14:textId="77777777" w:rsidR="00C01C52" w:rsidRPr="00067444" w:rsidRDefault="00F60FAA" w:rsidP="00C01C52">
            <w:r w:rsidRPr="00067444">
              <w:t>Share of surplus/deficit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8A" w14:textId="77777777" w:rsidR="00C01C52" w:rsidRPr="00067444" w:rsidRDefault="00F60FAA" w:rsidP="00C01C52">
            <w:pPr>
              <w:jc w:val="right"/>
            </w:pPr>
            <w:r w:rsidRPr="00067444">
              <w:t>(185)</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8B" w14:textId="77777777" w:rsidR="00C01C52" w:rsidRPr="00067444" w:rsidRDefault="00F60FAA" w:rsidP="00C01C52">
            <w:pPr>
              <w:jc w:val="right"/>
            </w:pPr>
            <w:r w:rsidRPr="00067444">
              <w:t>(185)</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533BD48C" w14:textId="77777777" w:rsidR="00C01C52" w:rsidRPr="00067444" w:rsidRDefault="00F60FAA" w:rsidP="00C01C52">
            <w:pPr>
              <w:jc w:val="right"/>
            </w:pPr>
            <w:r w:rsidRPr="00067444">
              <w:t>0</w:t>
            </w:r>
          </w:p>
        </w:tc>
      </w:tr>
      <w:tr w:rsidR="002B7C48" w14:paraId="533BD492" w14:textId="77777777" w:rsidTr="00C01C52">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3BD48E" w14:textId="77777777" w:rsidR="00C01C52" w:rsidRPr="00067444" w:rsidRDefault="00F60FAA" w:rsidP="00C01C52">
            <w:r w:rsidRPr="00067444">
              <w:t xml:space="preserve">Designated Area – Enterprise Zone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8F" w14:textId="77777777" w:rsidR="00C01C52" w:rsidRPr="00067444" w:rsidRDefault="00F60FAA" w:rsidP="00C01C52">
            <w:pPr>
              <w:jc w:val="right"/>
            </w:pPr>
            <w:r w:rsidRPr="00067444">
              <w:t>(174)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533BD490" w14:textId="77777777" w:rsidR="00C01C52" w:rsidRPr="00067444" w:rsidRDefault="00F60FAA" w:rsidP="00C01C52">
            <w:pPr>
              <w:jc w:val="right"/>
            </w:pPr>
            <w:r w:rsidRPr="00067444">
              <w:t>(167)</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533BD491" w14:textId="77777777" w:rsidR="00C01C52" w:rsidRPr="00067444" w:rsidRDefault="00F60FAA" w:rsidP="00C01C52">
            <w:pPr>
              <w:jc w:val="right"/>
            </w:pPr>
            <w:r w:rsidRPr="00067444">
              <w:t>7</w:t>
            </w:r>
          </w:p>
        </w:tc>
      </w:tr>
      <w:tr w:rsidR="002B7C48" w14:paraId="533BD497" w14:textId="77777777" w:rsidTr="00C01C52">
        <w:trPr>
          <w:trHeight w:val="340"/>
        </w:trPr>
        <w:tc>
          <w:tcPr>
            <w:tcW w:w="4243" w:type="dxa"/>
            <w:tcBorders>
              <w:top w:val="single" w:sz="4" w:space="0" w:color="BFBFBF" w:themeColor="background1" w:themeShade="BF"/>
              <w:bottom w:val="single" w:sz="4" w:space="0" w:color="auto"/>
              <w:right w:val="single" w:sz="4" w:space="0" w:color="BFBFBF" w:themeColor="background1" w:themeShade="BF"/>
            </w:tcBorders>
            <w:vAlign w:val="center"/>
          </w:tcPr>
          <w:p w14:paraId="533BD493" w14:textId="77777777" w:rsidR="00C01C52" w:rsidRPr="00067444" w:rsidRDefault="00F60FAA" w:rsidP="00C01C52">
            <w:r w:rsidRPr="00067444">
              <w:t>Renewable energy rates income</w:t>
            </w: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Mar>
              <w:right w:w="284" w:type="dxa"/>
            </w:tcMar>
            <w:vAlign w:val="center"/>
          </w:tcPr>
          <w:p w14:paraId="533BD494" w14:textId="77777777" w:rsidR="00C01C52" w:rsidRPr="00067444" w:rsidRDefault="00F60FAA" w:rsidP="00C01C52">
            <w:pPr>
              <w:jc w:val="right"/>
            </w:pPr>
            <w:r w:rsidRPr="00067444">
              <w:t>(39)</w:t>
            </w: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Mar>
              <w:right w:w="284" w:type="dxa"/>
            </w:tcMar>
            <w:vAlign w:val="center"/>
          </w:tcPr>
          <w:p w14:paraId="533BD495" w14:textId="77777777" w:rsidR="00C01C52" w:rsidRPr="00067444" w:rsidRDefault="00F60FAA" w:rsidP="00C01C52">
            <w:pPr>
              <w:jc w:val="right"/>
            </w:pPr>
            <w:r w:rsidRPr="00067444">
              <w:t>(102)</w:t>
            </w:r>
          </w:p>
        </w:tc>
        <w:tc>
          <w:tcPr>
            <w:tcW w:w="1559" w:type="dxa"/>
            <w:tcBorders>
              <w:top w:val="single" w:sz="4" w:space="0" w:color="BFBFBF" w:themeColor="background1" w:themeShade="BF"/>
              <w:left w:val="single" w:sz="4" w:space="0" w:color="BFBFBF" w:themeColor="background1" w:themeShade="BF"/>
              <w:bottom w:val="single" w:sz="4" w:space="0" w:color="auto"/>
            </w:tcBorders>
            <w:tcMar>
              <w:right w:w="284" w:type="dxa"/>
            </w:tcMar>
            <w:vAlign w:val="center"/>
          </w:tcPr>
          <w:p w14:paraId="533BD496" w14:textId="77777777" w:rsidR="00C01C52" w:rsidRPr="00067444" w:rsidRDefault="00F60FAA" w:rsidP="00C01C52">
            <w:pPr>
              <w:jc w:val="right"/>
            </w:pPr>
            <w:r w:rsidRPr="00067444">
              <w:t>(63)</w:t>
            </w:r>
          </w:p>
        </w:tc>
      </w:tr>
      <w:tr w:rsidR="002B7C48" w14:paraId="533BD49C" w14:textId="77777777" w:rsidTr="00C01C52">
        <w:trPr>
          <w:trHeight w:val="340"/>
        </w:trPr>
        <w:tc>
          <w:tcPr>
            <w:tcW w:w="4243" w:type="dxa"/>
            <w:tcBorders>
              <w:right w:val="single" w:sz="4" w:space="0" w:color="BFBFBF" w:themeColor="background1" w:themeShade="BF"/>
            </w:tcBorders>
            <w:vAlign w:val="center"/>
          </w:tcPr>
          <w:p w14:paraId="533BD498" w14:textId="77777777" w:rsidR="00C01C52" w:rsidRPr="00067444" w:rsidRDefault="00F60FAA" w:rsidP="00C01C52">
            <w:pPr>
              <w:rPr>
                <w:b/>
              </w:rPr>
            </w:pPr>
            <w:r w:rsidRPr="00067444">
              <w:rPr>
                <w:b/>
              </w:rPr>
              <w:t>Sub-Total</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533BD499" w14:textId="77777777" w:rsidR="00C01C52" w:rsidRPr="00067444" w:rsidRDefault="00F60FAA" w:rsidP="00C01C52">
            <w:pPr>
              <w:jc w:val="right"/>
              <w:rPr>
                <w:b/>
              </w:rPr>
            </w:pPr>
            <w:r w:rsidRPr="00067444">
              <w:rPr>
                <w:b/>
              </w:rPr>
              <w:t>(3,951)</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533BD49A" w14:textId="77777777" w:rsidR="00C01C52" w:rsidRPr="00067444" w:rsidRDefault="00F60FAA" w:rsidP="00C01C52">
            <w:pPr>
              <w:jc w:val="right"/>
              <w:rPr>
                <w:b/>
              </w:rPr>
            </w:pPr>
            <w:r w:rsidRPr="00067444">
              <w:rPr>
                <w:b/>
              </w:rPr>
              <w:t>(3,939)</w:t>
            </w:r>
          </w:p>
        </w:tc>
        <w:tc>
          <w:tcPr>
            <w:tcW w:w="1559" w:type="dxa"/>
            <w:tcBorders>
              <w:left w:val="single" w:sz="4" w:space="0" w:color="BFBFBF" w:themeColor="background1" w:themeShade="BF"/>
            </w:tcBorders>
            <w:tcMar>
              <w:right w:w="284" w:type="dxa"/>
            </w:tcMar>
            <w:vAlign w:val="center"/>
          </w:tcPr>
          <w:p w14:paraId="533BD49B" w14:textId="77777777" w:rsidR="00C01C52" w:rsidRPr="00067444" w:rsidRDefault="00F60FAA" w:rsidP="00C01C52">
            <w:pPr>
              <w:jc w:val="right"/>
              <w:rPr>
                <w:b/>
              </w:rPr>
            </w:pPr>
            <w:r w:rsidRPr="00067444">
              <w:rPr>
                <w:b/>
              </w:rPr>
              <w:t>12</w:t>
            </w:r>
          </w:p>
        </w:tc>
      </w:tr>
      <w:tr w:rsidR="002B7C48" w14:paraId="533BD4A1" w14:textId="77777777" w:rsidTr="00C01C52">
        <w:trPr>
          <w:trHeight w:val="340"/>
        </w:trPr>
        <w:tc>
          <w:tcPr>
            <w:tcW w:w="4243" w:type="dxa"/>
            <w:tcBorders>
              <w:right w:val="single" w:sz="4" w:space="0" w:color="BFBFBF" w:themeColor="background1" w:themeShade="BF"/>
            </w:tcBorders>
            <w:vAlign w:val="center"/>
          </w:tcPr>
          <w:p w14:paraId="533BD49D" w14:textId="77777777" w:rsidR="00C01C52" w:rsidRPr="00067444" w:rsidRDefault="00F60FAA" w:rsidP="00C01C52">
            <w:r w:rsidRPr="00067444">
              <w:t xml:space="preserve">Government S31 </w:t>
            </w:r>
            <w:r w:rsidRPr="00067444">
              <w:t>Grants</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533BD49E" w14:textId="77777777" w:rsidR="00C01C52" w:rsidRPr="00067444" w:rsidRDefault="00F60FAA" w:rsidP="00C01C52">
            <w:pPr>
              <w:jc w:val="right"/>
            </w:pPr>
            <w:r w:rsidRPr="00067444">
              <w:t>(1,750)</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533BD49F" w14:textId="77777777" w:rsidR="00C01C52" w:rsidRPr="00067444" w:rsidRDefault="00F60FAA" w:rsidP="00C01C52">
            <w:pPr>
              <w:jc w:val="right"/>
            </w:pPr>
            <w:r w:rsidRPr="00067444">
              <w:t>(2,042)</w:t>
            </w:r>
          </w:p>
        </w:tc>
        <w:tc>
          <w:tcPr>
            <w:tcW w:w="1559" w:type="dxa"/>
            <w:tcBorders>
              <w:left w:val="single" w:sz="4" w:space="0" w:color="BFBFBF" w:themeColor="background1" w:themeShade="BF"/>
            </w:tcBorders>
            <w:tcMar>
              <w:right w:w="284" w:type="dxa"/>
            </w:tcMar>
            <w:vAlign w:val="center"/>
          </w:tcPr>
          <w:p w14:paraId="533BD4A0" w14:textId="77777777" w:rsidR="00C01C52" w:rsidRPr="00067444" w:rsidRDefault="00F60FAA" w:rsidP="00C01C52">
            <w:pPr>
              <w:jc w:val="right"/>
            </w:pPr>
            <w:r w:rsidRPr="00067444">
              <w:t>(292)</w:t>
            </w:r>
          </w:p>
        </w:tc>
      </w:tr>
      <w:tr w:rsidR="002B7C48" w14:paraId="533BD4A6" w14:textId="77777777" w:rsidTr="00C01C52">
        <w:trPr>
          <w:trHeight w:val="340"/>
        </w:trPr>
        <w:tc>
          <w:tcPr>
            <w:tcW w:w="4243" w:type="dxa"/>
            <w:tcBorders>
              <w:right w:val="single" w:sz="4" w:space="0" w:color="BFBFBF" w:themeColor="background1" w:themeShade="BF"/>
            </w:tcBorders>
            <w:vAlign w:val="center"/>
          </w:tcPr>
          <w:p w14:paraId="533BD4A2" w14:textId="77777777" w:rsidR="00C01C52" w:rsidRPr="00067444" w:rsidRDefault="00F60FAA" w:rsidP="00C01C52">
            <w:pPr>
              <w:rPr>
                <w:b/>
              </w:rPr>
            </w:pPr>
            <w:r w:rsidRPr="00067444">
              <w:rPr>
                <w:b/>
              </w:rPr>
              <w:t>Total</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533BD4A3" w14:textId="77777777" w:rsidR="00C01C52" w:rsidRPr="00067444" w:rsidRDefault="00F60FAA" w:rsidP="00C01C52">
            <w:pPr>
              <w:jc w:val="right"/>
              <w:rPr>
                <w:b/>
              </w:rPr>
            </w:pPr>
            <w:r w:rsidRPr="00067444">
              <w:rPr>
                <w:b/>
              </w:rPr>
              <w:t>(5,701)</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533BD4A4" w14:textId="77777777" w:rsidR="00C01C52" w:rsidRPr="00067444" w:rsidRDefault="00F60FAA" w:rsidP="00C01C52">
            <w:pPr>
              <w:jc w:val="right"/>
              <w:rPr>
                <w:b/>
              </w:rPr>
            </w:pPr>
            <w:r w:rsidRPr="00067444">
              <w:rPr>
                <w:b/>
              </w:rPr>
              <w:t>(5,981)</w:t>
            </w:r>
          </w:p>
        </w:tc>
        <w:tc>
          <w:tcPr>
            <w:tcW w:w="1559" w:type="dxa"/>
            <w:tcBorders>
              <w:left w:val="single" w:sz="4" w:space="0" w:color="BFBFBF" w:themeColor="background1" w:themeShade="BF"/>
            </w:tcBorders>
            <w:tcMar>
              <w:right w:w="284" w:type="dxa"/>
            </w:tcMar>
            <w:vAlign w:val="center"/>
          </w:tcPr>
          <w:p w14:paraId="533BD4A5" w14:textId="77777777" w:rsidR="00C01C52" w:rsidRPr="00067444" w:rsidRDefault="00F60FAA" w:rsidP="00C01C52">
            <w:pPr>
              <w:jc w:val="right"/>
              <w:rPr>
                <w:b/>
              </w:rPr>
            </w:pPr>
            <w:r w:rsidRPr="00067444">
              <w:rPr>
                <w:b/>
              </w:rPr>
              <w:t>(280)</w:t>
            </w:r>
          </w:p>
        </w:tc>
      </w:tr>
    </w:tbl>
    <w:p w14:paraId="533BD4A7" w14:textId="77777777" w:rsidR="00C01C52" w:rsidRPr="00067444" w:rsidRDefault="00F60FAA" w:rsidP="00C01C52">
      <w:pPr>
        <w:ind w:left="708"/>
      </w:pPr>
    </w:p>
    <w:p w14:paraId="533BD4A8" w14:textId="77777777" w:rsidR="00C01C52" w:rsidRDefault="00F60FAA" w:rsidP="00C01C52">
      <w:pPr>
        <w:pStyle w:val="Heading2"/>
      </w:pPr>
      <w:r>
        <w:t>Income from services</w:t>
      </w:r>
    </w:p>
    <w:p w14:paraId="533BD4A9" w14:textId="77777777" w:rsidR="00C01C52" w:rsidRDefault="00F60FAA" w:rsidP="00C01C52">
      <w:pPr>
        <w:pStyle w:val="ListParagraph"/>
        <w:spacing w:after="160" w:line="259" w:lineRule="auto"/>
        <w:jc w:val="left"/>
      </w:pPr>
      <w:r>
        <w:t xml:space="preserve">Table 3 shows the budgets and forecasts of the main types of income that are generated by services.  (Note: this is different to general funding that isn’t </w:t>
      </w:r>
      <w:r>
        <w:t xml:space="preserve">attributable to </w:t>
      </w:r>
      <w:proofErr w:type="gramStart"/>
      <w:r>
        <w:t>particular services</w:t>
      </w:r>
      <w:proofErr w:type="gramEnd"/>
      <w:r>
        <w:t xml:space="preserve"> such as non-specific government grants, council tax and business rates.)</w:t>
      </w:r>
    </w:p>
    <w:p w14:paraId="533BD4AA" w14:textId="77777777" w:rsidR="00C01C52" w:rsidRDefault="00F60FAA" w:rsidP="00C01C52">
      <w:pPr>
        <w:pStyle w:val="Heading3"/>
      </w:pPr>
    </w:p>
    <w:p w14:paraId="533BD4AB" w14:textId="77777777" w:rsidR="00C01C52" w:rsidRDefault="00F60FAA">
      <w:pPr>
        <w:spacing w:after="160" w:line="259" w:lineRule="auto"/>
        <w:jc w:val="left"/>
        <w:rPr>
          <w:b/>
        </w:rPr>
      </w:pPr>
      <w:r>
        <w:br w:type="page"/>
      </w:r>
    </w:p>
    <w:p w14:paraId="533BD4AC" w14:textId="77777777" w:rsidR="00C01C52" w:rsidRDefault="00F60FAA" w:rsidP="00C01C52">
      <w:pPr>
        <w:pStyle w:val="Heading3"/>
      </w:pPr>
      <w:r w:rsidRPr="003615BB">
        <w:lastRenderedPageBreak/>
        <w:t>Table 3: Income from services</w:t>
      </w:r>
    </w:p>
    <w:p w14:paraId="533BD4AD" w14:textId="77777777" w:rsidR="00C01C52" w:rsidRPr="00812150" w:rsidRDefault="00F60FAA" w:rsidP="00C01C52"/>
    <w:tbl>
      <w:tblPr>
        <w:tblW w:w="9213" w:type="dxa"/>
        <w:tblInd w:w="421" w:type="dxa"/>
        <w:tblLayout w:type="fixed"/>
        <w:tblLook w:val="04A0" w:firstRow="1" w:lastRow="0" w:firstColumn="1" w:lastColumn="0" w:noHBand="0" w:noVBand="1"/>
      </w:tblPr>
      <w:tblGrid>
        <w:gridCol w:w="4536"/>
        <w:gridCol w:w="1169"/>
        <w:gridCol w:w="1169"/>
        <w:gridCol w:w="1169"/>
        <w:gridCol w:w="1170"/>
      </w:tblGrid>
      <w:tr w:rsidR="002B7C48" w14:paraId="533BD4B7" w14:textId="77777777" w:rsidTr="00C01C52">
        <w:trPr>
          <w:trHeight w:val="284"/>
        </w:trPr>
        <w:tc>
          <w:tcPr>
            <w:tcW w:w="4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3BD4AE"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Service Area</w:t>
            </w:r>
          </w:p>
        </w:tc>
        <w:tc>
          <w:tcPr>
            <w:tcW w:w="1169" w:type="dxa"/>
            <w:tcBorders>
              <w:top w:val="single" w:sz="4" w:space="0" w:color="auto"/>
              <w:left w:val="nil"/>
              <w:bottom w:val="single" w:sz="4" w:space="0" w:color="auto"/>
              <w:right w:val="single" w:sz="4" w:space="0" w:color="auto"/>
            </w:tcBorders>
            <w:shd w:val="clear" w:color="000000" w:fill="D9D9D9"/>
            <w:vAlign w:val="center"/>
            <w:hideMark/>
          </w:tcPr>
          <w:p w14:paraId="533BD4AF" w14:textId="77777777" w:rsidR="00C01C52" w:rsidRDefault="00F60FAA" w:rsidP="00C01C52">
            <w:pPr>
              <w:spacing w:line="240" w:lineRule="auto"/>
              <w:jc w:val="center"/>
              <w:rPr>
                <w:rFonts w:cs="Arial"/>
                <w:color w:val="000000"/>
                <w:szCs w:val="22"/>
              </w:rPr>
            </w:pPr>
            <w:r w:rsidRPr="00A67602">
              <w:rPr>
                <w:rFonts w:cs="Arial"/>
                <w:color w:val="000000"/>
                <w:szCs w:val="22"/>
              </w:rPr>
              <w:t>Last Year Income</w:t>
            </w:r>
          </w:p>
          <w:p w14:paraId="533BD4B0" w14:textId="77777777" w:rsidR="00C01C52" w:rsidRPr="00A67602" w:rsidRDefault="00F60FAA" w:rsidP="00C01C52">
            <w:pPr>
              <w:spacing w:line="240" w:lineRule="auto"/>
              <w:jc w:val="center"/>
              <w:rPr>
                <w:rFonts w:cs="Arial"/>
                <w:color w:val="000000"/>
                <w:szCs w:val="22"/>
              </w:rPr>
            </w:pPr>
            <w:r>
              <w:rPr>
                <w:rFonts w:cs="Arial"/>
                <w:color w:val="000000"/>
                <w:szCs w:val="22"/>
              </w:rPr>
              <w:t>£’000</w:t>
            </w:r>
          </w:p>
        </w:tc>
        <w:tc>
          <w:tcPr>
            <w:tcW w:w="1169" w:type="dxa"/>
            <w:tcBorders>
              <w:top w:val="single" w:sz="4" w:space="0" w:color="auto"/>
              <w:left w:val="nil"/>
              <w:bottom w:val="single" w:sz="4" w:space="0" w:color="auto"/>
              <w:right w:val="single" w:sz="4" w:space="0" w:color="auto"/>
            </w:tcBorders>
            <w:shd w:val="clear" w:color="000000" w:fill="D9D9D9"/>
            <w:vAlign w:val="center"/>
            <w:hideMark/>
          </w:tcPr>
          <w:p w14:paraId="533BD4B1" w14:textId="77777777" w:rsidR="00C01C52" w:rsidRDefault="00F60FAA" w:rsidP="00C01C52">
            <w:pPr>
              <w:spacing w:line="240" w:lineRule="auto"/>
              <w:jc w:val="center"/>
              <w:rPr>
                <w:rFonts w:cs="Arial"/>
                <w:color w:val="000000"/>
                <w:szCs w:val="22"/>
              </w:rPr>
            </w:pPr>
            <w:r w:rsidRPr="00A67602">
              <w:rPr>
                <w:rFonts w:cs="Arial"/>
                <w:color w:val="000000"/>
                <w:szCs w:val="22"/>
              </w:rPr>
              <w:t>Budget</w:t>
            </w:r>
          </w:p>
          <w:p w14:paraId="533BD4B2" w14:textId="77777777" w:rsidR="00C01C52" w:rsidRPr="00A67602" w:rsidRDefault="00F60FAA" w:rsidP="00C01C52">
            <w:pPr>
              <w:spacing w:line="240" w:lineRule="auto"/>
              <w:jc w:val="center"/>
              <w:rPr>
                <w:rFonts w:cs="Arial"/>
                <w:color w:val="000000"/>
                <w:szCs w:val="22"/>
              </w:rPr>
            </w:pPr>
            <w:r>
              <w:rPr>
                <w:rFonts w:cs="Arial"/>
                <w:color w:val="000000"/>
                <w:szCs w:val="22"/>
              </w:rPr>
              <w:t>£’000</w:t>
            </w:r>
          </w:p>
        </w:tc>
        <w:tc>
          <w:tcPr>
            <w:tcW w:w="1169" w:type="dxa"/>
            <w:tcBorders>
              <w:top w:val="single" w:sz="4" w:space="0" w:color="auto"/>
              <w:left w:val="nil"/>
              <w:bottom w:val="single" w:sz="4" w:space="0" w:color="auto"/>
              <w:right w:val="single" w:sz="4" w:space="0" w:color="auto"/>
            </w:tcBorders>
            <w:shd w:val="clear" w:color="000000" w:fill="D9D9D9"/>
            <w:vAlign w:val="center"/>
            <w:hideMark/>
          </w:tcPr>
          <w:p w14:paraId="533BD4B3" w14:textId="77777777" w:rsidR="00C01C52" w:rsidRDefault="00F60FAA" w:rsidP="00C01C52">
            <w:pPr>
              <w:spacing w:line="240" w:lineRule="auto"/>
              <w:jc w:val="center"/>
              <w:rPr>
                <w:rFonts w:cs="Arial"/>
                <w:color w:val="000000"/>
                <w:szCs w:val="22"/>
              </w:rPr>
            </w:pPr>
            <w:r w:rsidRPr="00A67602">
              <w:rPr>
                <w:rFonts w:cs="Arial"/>
                <w:color w:val="000000"/>
                <w:szCs w:val="22"/>
              </w:rPr>
              <w:t>Forecast</w:t>
            </w:r>
          </w:p>
          <w:p w14:paraId="533BD4B4" w14:textId="77777777" w:rsidR="00C01C52" w:rsidRPr="00A67602" w:rsidRDefault="00F60FAA" w:rsidP="00C01C52">
            <w:pPr>
              <w:spacing w:line="240" w:lineRule="auto"/>
              <w:jc w:val="center"/>
              <w:rPr>
                <w:rFonts w:cs="Arial"/>
                <w:color w:val="000000"/>
                <w:szCs w:val="22"/>
              </w:rPr>
            </w:pPr>
            <w:r>
              <w:rPr>
                <w:rFonts w:cs="Arial"/>
                <w:color w:val="000000"/>
                <w:szCs w:val="22"/>
              </w:rPr>
              <w:t>£’000</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533BD4B5" w14:textId="77777777" w:rsidR="00C01C52" w:rsidRDefault="00F60FAA" w:rsidP="00C01C52">
            <w:pPr>
              <w:spacing w:line="240" w:lineRule="auto"/>
              <w:jc w:val="center"/>
              <w:rPr>
                <w:rFonts w:cs="Arial"/>
                <w:color w:val="000000"/>
                <w:szCs w:val="22"/>
              </w:rPr>
            </w:pPr>
            <w:r w:rsidRPr="00A67602">
              <w:rPr>
                <w:rFonts w:cs="Arial"/>
                <w:color w:val="000000"/>
                <w:szCs w:val="22"/>
              </w:rPr>
              <w:t>Forecast (Surplus) / Deficit</w:t>
            </w:r>
          </w:p>
          <w:p w14:paraId="533BD4B6" w14:textId="77777777" w:rsidR="00C01C52" w:rsidRPr="00A67602" w:rsidRDefault="00F60FAA" w:rsidP="00C01C52">
            <w:pPr>
              <w:spacing w:line="240" w:lineRule="auto"/>
              <w:jc w:val="center"/>
              <w:rPr>
                <w:rFonts w:cs="Arial"/>
                <w:color w:val="000000"/>
                <w:szCs w:val="22"/>
              </w:rPr>
            </w:pPr>
            <w:r>
              <w:rPr>
                <w:rFonts w:cs="Arial"/>
                <w:color w:val="000000"/>
                <w:szCs w:val="22"/>
              </w:rPr>
              <w:t>£’000</w:t>
            </w:r>
          </w:p>
        </w:tc>
      </w:tr>
      <w:tr w:rsidR="002B7C48" w14:paraId="533BD4BD" w14:textId="77777777" w:rsidTr="00C01C52">
        <w:trPr>
          <w:trHeight w:val="284"/>
        </w:trPr>
        <w:tc>
          <w:tcPr>
            <w:tcW w:w="4536" w:type="dxa"/>
            <w:tcBorders>
              <w:top w:val="nil"/>
              <w:left w:val="single" w:sz="4" w:space="0" w:color="auto"/>
              <w:bottom w:val="nil"/>
              <w:right w:val="nil"/>
            </w:tcBorders>
            <w:shd w:val="clear" w:color="auto" w:fill="auto"/>
            <w:noWrap/>
            <w:vAlign w:val="center"/>
            <w:hideMark/>
          </w:tcPr>
          <w:p w14:paraId="533BD4B8" w14:textId="77777777" w:rsidR="00C01C52" w:rsidRPr="00017022" w:rsidRDefault="00F60FAA" w:rsidP="00C01C52">
            <w:pPr>
              <w:spacing w:before="120" w:line="240" w:lineRule="auto"/>
              <w:jc w:val="left"/>
              <w:rPr>
                <w:rFonts w:cs="Arial"/>
                <w:b/>
                <w:bCs/>
                <w:szCs w:val="22"/>
              </w:rPr>
            </w:pPr>
            <w:r w:rsidRPr="00017022">
              <w:rPr>
                <w:rFonts w:cs="Arial"/>
                <w:b/>
                <w:bCs/>
                <w:szCs w:val="22"/>
              </w:rPr>
              <w:t>Neighbourhoods &amp; Development</w:t>
            </w:r>
          </w:p>
        </w:tc>
        <w:tc>
          <w:tcPr>
            <w:tcW w:w="1169" w:type="dxa"/>
            <w:tcBorders>
              <w:top w:val="nil"/>
              <w:left w:val="nil"/>
              <w:bottom w:val="nil"/>
              <w:right w:val="nil"/>
            </w:tcBorders>
            <w:shd w:val="clear" w:color="auto" w:fill="auto"/>
            <w:noWrap/>
            <w:vAlign w:val="center"/>
            <w:hideMark/>
          </w:tcPr>
          <w:p w14:paraId="533BD4B9" w14:textId="77777777" w:rsidR="00C01C52" w:rsidRPr="00017022" w:rsidRDefault="00F60FAA" w:rsidP="00C01C52">
            <w:pPr>
              <w:spacing w:line="240" w:lineRule="auto"/>
              <w:jc w:val="left"/>
              <w:rPr>
                <w:rFonts w:cs="Arial"/>
                <w:b/>
                <w:bCs/>
                <w:szCs w:val="22"/>
              </w:rPr>
            </w:pPr>
          </w:p>
        </w:tc>
        <w:tc>
          <w:tcPr>
            <w:tcW w:w="1169" w:type="dxa"/>
            <w:tcBorders>
              <w:top w:val="nil"/>
              <w:left w:val="nil"/>
              <w:bottom w:val="nil"/>
              <w:right w:val="nil"/>
            </w:tcBorders>
            <w:shd w:val="clear" w:color="auto" w:fill="auto"/>
            <w:noWrap/>
            <w:vAlign w:val="center"/>
            <w:hideMark/>
          </w:tcPr>
          <w:p w14:paraId="533BD4BA" w14:textId="77777777" w:rsidR="00C01C52" w:rsidRPr="00017022" w:rsidRDefault="00F60FAA" w:rsidP="00C01C52">
            <w:pPr>
              <w:spacing w:line="240" w:lineRule="auto"/>
              <w:jc w:val="right"/>
              <w:rPr>
                <w:rFonts w:cs="Arial"/>
                <w:sz w:val="20"/>
              </w:rPr>
            </w:pPr>
          </w:p>
        </w:tc>
        <w:tc>
          <w:tcPr>
            <w:tcW w:w="1169" w:type="dxa"/>
            <w:tcBorders>
              <w:top w:val="nil"/>
              <w:left w:val="nil"/>
              <w:bottom w:val="nil"/>
              <w:right w:val="nil"/>
            </w:tcBorders>
            <w:shd w:val="clear" w:color="auto" w:fill="auto"/>
            <w:noWrap/>
            <w:vAlign w:val="center"/>
            <w:hideMark/>
          </w:tcPr>
          <w:p w14:paraId="533BD4BB" w14:textId="77777777" w:rsidR="00C01C52" w:rsidRPr="00017022" w:rsidRDefault="00F60FAA" w:rsidP="00C01C52">
            <w:pPr>
              <w:spacing w:line="240" w:lineRule="auto"/>
              <w:jc w:val="right"/>
              <w:rPr>
                <w:rFonts w:cs="Arial"/>
                <w:sz w:val="20"/>
              </w:rPr>
            </w:pPr>
          </w:p>
        </w:tc>
        <w:tc>
          <w:tcPr>
            <w:tcW w:w="1170" w:type="dxa"/>
            <w:tcBorders>
              <w:top w:val="nil"/>
              <w:left w:val="nil"/>
              <w:bottom w:val="nil"/>
              <w:right w:val="single" w:sz="4" w:space="0" w:color="auto"/>
            </w:tcBorders>
            <w:shd w:val="clear" w:color="auto" w:fill="auto"/>
            <w:noWrap/>
            <w:vAlign w:val="center"/>
            <w:hideMark/>
          </w:tcPr>
          <w:p w14:paraId="533BD4BC" w14:textId="77777777" w:rsidR="00C01C52" w:rsidRPr="00017022" w:rsidRDefault="00F60FAA" w:rsidP="00C01C52">
            <w:pPr>
              <w:spacing w:line="240" w:lineRule="auto"/>
              <w:jc w:val="right"/>
              <w:rPr>
                <w:rFonts w:cs="Arial"/>
                <w:sz w:val="20"/>
              </w:rPr>
            </w:pPr>
          </w:p>
        </w:tc>
      </w:tr>
      <w:tr w:rsidR="002B7C48" w14:paraId="533BD4C3" w14:textId="77777777" w:rsidTr="00C01C52">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533BD4BE"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Car Parking charges and fines</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4BF"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(135)</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4C0"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(137)</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4C1"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140</w:t>
            </w:r>
            <w:r w:rsidRPr="00A67602">
              <w:rPr>
                <w:rFonts w:cs="Arial"/>
                <w:color w:val="000000"/>
                <w:szCs w:val="22"/>
              </w:rPr>
              <w:t>)</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533BD4C2" w14:textId="77777777" w:rsidR="00C01C52" w:rsidRPr="00A67602" w:rsidRDefault="00F60FAA" w:rsidP="00C01C52">
            <w:pPr>
              <w:spacing w:line="240" w:lineRule="auto"/>
              <w:jc w:val="right"/>
              <w:rPr>
                <w:rFonts w:cs="Arial"/>
                <w:color w:val="000000"/>
                <w:szCs w:val="22"/>
              </w:rPr>
            </w:pPr>
            <w:r>
              <w:rPr>
                <w:rFonts w:cs="Arial"/>
                <w:color w:val="000000"/>
                <w:szCs w:val="22"/>
              </w:rPr>
              <w:t>(2)</w:t>
            </w:r>
            <w:r w:rsidRPr="00A67602">
              <w:rPr>
                <w:rFonts w:cs="Arial"/>
                <w:color w:val="000000"/>
                <w:szCs w:val="22"/>
              </w:rPr>
              <w:t xml:space="preserve">  </w:t>
            </w:r>
          </w:p>
        </w:tc>
      </w:tr>
      <w:tr w:rsidR="002B7C48" w14:paraId="533BD4C9"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C4"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 xml:space="preserve">Civic Centre </w:t>
            </w:r>
            <w:r>
              <w:rPr>
                <w:rFonts w:cs="Arial"/>
                <w:color w:val="000000"/>
                <w:szCs w:val="22"/>
              </w:rPr>
              <w:t>banqueting suite income</w:t>
            </w:r>
          </w:p>
        </w:tc>
        <w:tc>
          <w:tcPr>
            <w:tcW w:w="1169" w:type="dxa"/>
            <w:tcBorders>
              <w:top w:val="nil"/>
              <w:left w:val="nil"/>
              <w:bottom w:val="single" w:sz="4" w:space="0" w:color="BFBFBF"/>
              <w:right w:val="single" w:sz="4" w:space="0" w:color="BFBFBF"/>
            </w:tcBorders>
            <w:shd w:val="clear" w:color="auto" w:fill="auto"/>
            <w:noWrap/>
            <w:vAlign w:val="center"/>
            <w:hideMark/>
          </w:tcPr>
          <w:p w14:paraId="533BD4C5"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(21)</w:t>
            </w:r>
          </w:p>
        </w:tc>
        <w:tc>
          <w:tcPr>
            <w:tcW w:w="1169" w:type="dxa"/>
            <w:tcBorders>
              <w:top w:val="nil"/>
              <w:left w:val="nil"/>
              <w:bottom w:val="single" w:sz="4" w:space="0" w:color="BFBFBF"/>
              <w:right w:val="single" w:sz="4" w:space="0" w:color="BFBFBF"/>
            </w:tcBorders>
            <w:shd w:val="clear" w:color="auto" w:fill="auto"/>
            <w:noWrap/>
            <w:vAlign w:val="center"/>
            <w:hideMark/>
          </w:tcPr>
          <w:p w14:paraId="533BD4C6"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(18)</w:t>
            </w:r>
          </w:p>
        </w:tc>
        <w:tc>
          <w:tcPr>
            <w:tcW w:w="1169" w:type="dxa"/>
            <w:tcBorders>
              <w:top w:val="nil"/>
              <w:left w:val="nil"/>
              <w:bottom w:val="single" w:sz="4" w:space="0" w:color="BFBFBF"/>
              <w:right w:val="single" w:sz="4" w:space="0" w:color="BFBFBF"/>
            </w:tcBorders>
            <w:shd w:val="clear" w:color="auto" w:fill="auto"/>
            <w:noWrap/>
            <w:vAlign w:val="center"/>
            <w:hideMark/>
          </w:tcPr>
          <w:p w14:paraId="533BD4C7"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31</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4C8" w14:textId="77777777" w:rsidR="00C01C52" w:rsidRPr="00A67602" w:rsidRDefault="00F60FAA" w:rsidP="00C01C52">
            <w:pPr>
              <w:spacing w:line="240" w:lineRule="auto"/>
              <w:jc w:val="right"/>
              <w:rPr>
                <w:rFonts w:cs="Arial"/>
                <w:color w:val="000000"/>
                <w:szCs w:val="22"/>
              </w:rPr>
            </w:pPr>
            <w:r>
              <w:rPr>
                <w:rFonts w:cs="Arial"/>
                <w:color w:val="000000"/>
                <w:szCs w:val="22"/>
              </w:rPr>
              <w:t>(13)</w:t>
            </w:r>
          </w:p>
        </w:tc>
      </w:tr>
      <w:tr w:rsidR="002B7C48" w14:paraId="533BD4CF"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CA"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Community Sports Coaching</w:t>
            </w:r>
          </w:p>
        </w:tc>
        <w:tc>
          <w:tcPr>
            <w:tcW w:w="1169" w:type="dxa"/>
            <w:tcBorders>
              <w:top w:val="nil"/>
              <w:left w:val="nil"/>
              <w:bottom w:val="single" w:sz="4" w:space="0" w:color="BFBFBF"/>
              <w:right w:val="single" w:sz="4" w:space="0" w:color="BFBFBF"/>
            </w:tcBorders>
            <w:shd w:val="clear" w:color="auto" w:fill="auto"/>
            <w:noWrap/>
            <w:vAlign w:val="center"/>
            <w:hideMark/>
          </w:tcPr>
          <w:p w14:paraId="533BD4CB"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(235)</w:t>
            </w:r>
          </w:p>
        </w:tc>
        <w:tc>
          <w:tcPr>
            <w:tcW w:w="1169" w:type="dxa"/>
            <w:tcBorders>
              <w:top w:val="nil"/>
              <w:left w:val="nil"/>
              <w:bottom w:val="single" w:sz="4" w:space="0" w:color="BFBFBF"/>
              <w:right w:val="single" w:sz="4" w:space="0" w:color="BFBFBF"/>
            </w:tcBorders>
            <w:shd w:val="clear" w:color="auto" w:fill="auto"/>
            <w:noWrap/>
            <w:vAlign w:val="center"/>
            <w:hideMark/>
          </w:tcPr>
          <w:p w14:paraId="533BD4CC"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(203)</w:t>
            </w:r>
          </w:p>
        </w:tc>
        <w:tc>
          <w:tcPr>
            <w:tcW w:w="1169" w:type="dxa"/>
            <w:tcBorders>
              <w:top w:val="nil"/>
              <w:left w:val="nil"/>
              <w:bottom w:val="single" w:sz="4" w:space="0" w:color="BFBFBF"/>
              <w:right w:val="single" w:sz="4" w:space="0" w:color="BFBFBF"/>
            </w:tcBorders>
            <w:shd w:val="clear" w:color="auto" w:fill="auto"/>
            <w:noWrap/>
            <w:vAlign w:val="center"/>
            <w:hideMark/>
          </w:tcPr>
          <w:p w14:paraId="533BD4CD"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w:t>
            </w:r>
            <w:r>
              <w:rPr>
                <w:rFonts w:cs="Arial"/>
                <w:color w:val="000000"/>
                <w:szCs w:val="22"/>
              </w:rPr>
              <w:t>35</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4CE"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32</w:t>
            </w:r>
            <w:r w:rsidRPr="00A67602">
              <w:rPr>
                <w:rFonts w:cs="Arial"/>
                <w:color w:val="000000"/>
                <w:szCs w:val="22"/>
              </w:rPr>
              <w:t>)</w:t>
            </w:r>
          </w:p>
        </w:tc>
      </w:tr>
      <w:tr w:rsidR="002B7C48" w14:paraId="533BD4D5"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D0"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Dog impounding, littering and dog fouling</w:t>
            </w:r>
          </w:p>
        </w:tc>
        <w:tc>
          <w:tcPr>
            <w:tcW w:w="1169" w:type="dxa"/>
            <w:tcBorders>
              <w:top w:val="nil"/>
              <w:left w:val="nil"/>
              <w:bottom w:val="single" w:sz="4" w:space="0" w:color="BFBFBF"/>
              <w:right w:val="single" w:sz="4" w:space="0" w:color="BFBFBF"/>
            </w:tcBorders>
            <w:shd w:val="clear" w:color="auto" w:fill="auto"/>
            <w:noWrap/>
            <w:vAlign w:val="center"/>
            <w:hideMark/>
          </w:tcPr>
          <w:p w14:paraId="533BD4D1"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(6)</w:t>
            </w:r>
          </w:p>
        </w:tc>
        <w:tc>
          <w:tcPr>
            <w:tcW w:w="1169" w:type="dxa"/>
            <w:tcBorders>
              <w:top w:val="nil"/>
              <w:left w:val="nil"/>
              <w:bottom w:val="single" w:sz="4" w:space="0" w:color="BFBFBF"/>
              <w:right w:val="single" w:sz="4" w:space="0" w:color="BFBFBF"/>
            </w:tcBorders>
            <w:shd w:val="clear" w:color="auto" w:fill="auto"/>
            <w:noWrap/>
            <w:vAlign w:val="center"/>
            <w:hideMark/>
          </w:tcPr>
          <w:p w14:paraId="533BD4D2"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(18)</w:t>
            </w:r>
          </w:p>
        </w:tc>
        <w:tc>
          <w:tcPr>
            <w:tcW w:w="1169" w:type="dxa"/>
            <w:tcBorders>
              <w:top w:val="nil"/>
              <w:left w:val="nil"/>
              <w:bottom w:val="single" w:sz="4" w:space="0" w:color="BFBFBF"/>
              <w:right w:val="single" w:sz="4" w:space="0" w:color="BFBFBF"/>
            </w:tcBorders>
            <w:shd w:val="clear" w:color="auto" w:fill="auto"/>
            <w:noWrap/>
            <w:vAlign w:val="center"/>
            <w:hideMark/>
          </w:tcPr>
          <w:p w14:paraId="533BD4D3"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6</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4D4" w14:textId="77777777" w:rsidR="00C01C52" w:rsidRPr="00A67602" w:rsidRDefault="00F60FAA" w:rsidP="00C01C52">
            <w:pPr>
              <w:spacing w:line="240" w:lineRule="auto"/>
              <w:jc w:val="right"/>
              <w:rPr>
                <w:rFonts w:cs="Arial"/>
                <w:color w:val="000000"/>
                <w:szCs w:val="22"/>
              </w:rPr>
            </w:pPr>
            <w:r>
              <w:rPr>
                <w:rFonts w:cs="Arial"/>
                <w:color w:val="000000"/>
                <w:szCs w:val="22"/>
              </w:rPr>
              <w:t>12</w:t>
            </w:r>
            <w:r w:rsidRPr="00A67602">
              <w:rPr>
                <w:rFonts w:cs="Arial"/>
                <w:color w:val="000000"/>
                <w:szCs w:val="22"/>
              </w:rPr>
              <w:t xml:space="preserve"> </w:t>
            </w:r>
          </w:p>
        </w:tc>
      </w:tr>
      <w:tr w:rsidR="002B7C48" w14:paraId="533BD4DB"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D6"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Environmental Permits</w:t>
            </w:r>
          </w:p>
        </w:tc>
        <w:tc>
          <w:tcPr>
            <w:tcW w:w="1169" w:type="dxa"/>
            <w:tcBorders>
              <w:top w:val="nil"/>
              <w:left w:val="nil"/>
              <w:bottom w:val="single" w:sz="4" w:space="0" w:color="BFBFBF"/>
              <w:right w:val="single" w:sz="4" w:space="0" w:color="BFBFBF"/>
            </w:tcBorders>
            <w:shd w:val="clear" w:color="auto" w:fill="auto"/>
            <w:noWrap/>
            <w:vAlign w:val="center"/>
            <w:hideMark/>
          </w:tcPr>
          <w:p w14:paraId="533BD4D7"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(24)</w:t>
            </w:r>
          </w:p>
        </w:tc>
        <w:tc>
          <w:tcPr>
            <w:tcW w:w="1169" w:type="dxa"/>
            <w:tcBorders>
              <w:top w:val="nil"/>
              <w:left w:val="nil"/>
              <w:bottom w:val="single" w:sz="4" w:space="0" w:color="BFBFBF"/>
              <w:right w:val="single" w:sz="4" w:space="0" w:color="BFBFBF"/>
            </w:tcBorders>
            <w:shd w:val="clear" w:color="auto" w:fill="auto"/>
            <w:noWrap/>
            <w:vAlign w:val="center"/>
            <w:hideMark/>
          </w:tcPr>
          <w:p w14:paraId="533BD4D8"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(19)</w:t>
            </w:r>
          </w:p>
        </w:tc>
        <w:tc>
          <w:tcPr>
            <w:tcW w:w="1169" w:type="dxa"/>
            <w:tcBorders>
              <w:top w:val="nil"/>
              <w:left w:val="nil"/>
              <w:bottom w:val="single" w:sz="4" w:space="0" w:color="BFBFBF"/>
              <w:right w:val="single" w:sz="4" w:space="0" w:color="BFBFBF"/>
            </w:tcBorders>
            <w:shd w:val="clear" w:color="auto" w:fill="auto"/>
            <w:noWrap/>
            <w:vAlign w:val="center"/>
            <w:hideMark/>
          </w:tcPr>
          <w:p w14:paraId="533BD4D9"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23</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4DA" w14:textId="77777777" w:rsidR="00C01C52" w:rsidRPr="00A67602" w:rsidRDefault="00F60FAA" w:rsidP="00C01C52">
            <w:pPr>
              <w:spacing w:line="240" w:lineRule="auto"/>
              <w:jc w:val="right"/>
              <w:rPr>
                <w:rFonts w:cs="Arial"/>
                <w:color w:val="000000"/>
                <w:szCs w:val="22"/>
              </w:rPr>
            </w:pPr>
            <w:r>
              <w:rPr>
                <w:rFonts w:cs="Arial"/>
                <w:color w:val="000000"/>
                <w:szCs w:val="22"/>
              </w:rPr>
              <w:t>(4)</w:t>
            </w:r>
            <w:r w:rsidRPr="00A67602">
              <w:rPr>
                <w:rFonts w:cs="Arial"/>
                <w:color w:val="000000"/>
                <w:szCs w:val="22"/>
              </w:rPr>
              <w:t xml:space="preserve">  </w:t>
            </w:r>
          </w:p>
        </w:tc>
      </w:tr>
      <w:tr w:rsidR="002B7C48" w14:paraId="533BD4E1"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DC"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Football pitches, fairs, etc.</w:t>
            </w:r>
          </w:p>
        </w:tc>
        <w:tc>
          <w:tcPr>
            <w:tcW w:w="1169" w:type="dxa"/>
            <w:tcBorders>
              <w:top w:val="nil"/>
              <w:left w:val="nil"/>
              <w:bottom w:val="single" w:sz="4" w:space="0" w:color="BFBFBF"/>
              <w:right w:val="single" w:sz="4" w:space="0" w:color="BFBFBF"/>
            </w:tcBorders>
            <w:shd w:val="clear" w:color="auto" w:fill="auto"/>
            <w:noWrap/>
            <w:vAlign w:val="center"/>
            <w:hideMark/>
          </w:tcPr>
          <w:p w14:paraId="533BD4DD"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(26)</w:t>
            </w:r>
          </w:p>
        </w:tc>
        <w:tc>
          <w:tcPr>
            <w:tcW w:w="1169" w:type="dxa"/>
            <w:tcBorders>
              <w:top w:val="nil"/>
              <w:left w:val="nil"/>
              <w:bottom w:val="single" w:sz="4" w:space="0" w:color="BFBFBF"/>
              <w:right w:val="single" w:sz="4" w:space="0" w:color="BFBFBF"/>
            </w:tcBorders>
            <w:shd w:val="clear" w:color="auto" w:fill="auto"/>
            <w:noWrap/>
            <w:vAlign w:val="center"/>
            <w:hideMark/>
          </w:tcPr>
          <w:p w14:paraId="533BD4DE"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(15)</w:t>
            </w:r>
          </w:p>
        </w:tc>
        <w:tc>
          <w:tcPr>
            <w:tcW w:w="1169" w:type="dxa"/>
            <w:tcBorders>
              <w:top w:val="nil"/>
              <w:left w:val="nil"/>
              <w:bottom w:val="single" w:sz="4" w:space="0" w:color="BFBFBF"/>
              <w:right w:val="single" w:sz="4" w:space="0" w:color="BFBFBF"/>
            </w:tcBorders>
            <w:shd w:val="clear" w:color="auto" w:fill="auto"/>
            <w:noWrap/>
            <w:vAlign w:val="center"/>
            <w:hideMark/>
          </w:tcPr>
          <w:p w14:paraId="533BD4DF"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29</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4E0"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14</w:t>
            </w:r>
            <w:r w:rsidRPr="00A67602">
              <w:rPr>
                <w:rFonts w:cs="Arial"/>
                <w:color w:val="000000"/>
                <w:szCs w:val="22"/>
              </w:rPr>
              <w:t>)</w:t>
            </w:r>
          </w:p>
        </w:tc>
      </w:tr>
      <w:tr w:rsidR="002B7C48" w14:paraId="533BD4E7"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E2"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Grounds Maintenance</w:t>
            </w:r>
          </w:p>
        </w:tc>
        <w:tc>
          <w:tcPr>
            <w:tcW w:w="1169" w:type="dxa"/>
            <w:tcBorders>
              <w:top w:val="nil"/>
              <w:left w:val="nil"/>
              <w:bottom w:val="single" w:sz="4" w:space="0" w:color="BFBFBF"/>
              <w:right w:val="single" w:sz="4" w:space="0" w:color="BFBFBF"/>
            </w:tcBorders>
            <w:shd w:val="clear" w:color="auto" w:fill="auto"/>
            <w:noWrap/>
            <w:vAlign w:val="center"/>
            <w:hideMark/>
          </w:tcPr>
          <w:p w14:paraId="533BD4E3"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w:t>
            </w:r>
            <w:r>
              <w:rPr>
                <w:rFonts w:cs="Arial"/>
                <w:color w:val="000000"/>
                <w:szCs w:val="22"/>
              </w:rPr>
              <w:t>72</w:t>
            </w:r>
            <w:r w:rsidRPr="00A67602">
              <w:rPr>
                <w:rFonts w:cs="Arial"/>
                <w:color w:val="000000"/>
                <w:szCs w:val="22"/>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533BD4E4"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(16</w:t>
            </w:r>
            <w:r>
              <w:rPr>
                <w:rFonts w:cs="Arial"/>
                <w:color w:val="000000"/>
                <w:szCs w:val="22"/>
              </w:rPr>
              <w:t>4</w:t>
            </w:r>
            <w:r w:rsidRPr="00A67602">
              <w:rPr>
                <w:rFonts w:cs="Arial"/>
                <w:color w:val="000000"/>
                <w:szCs w:val="22"/>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533BD4E5"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w:t>
            </w:r>
            <w:r>
              <w:rPr>
                <w:rFonts w:cs="Arial"/>
                <w:color w:val="000000"/>
                <w:szCs w:val="22"/>
              </w:rPr>
              <w:t>56</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4E6" w14:textId="77777777" w:rsidR="00C01C52" w:rsidRPr="00A67602" w:rsidRDefault="00F60FAA" w:rsidP="00C01C52">
            <w:pPr>
              <w:spacing w:line="240" w:lineRule="auto"/>
              <w:jc w:val="right"/>
              <w:rPr>
                <w:rFonts w:cs="Arial"/>
                <w:color w:val="000000"/>
                <w:szCs w:val="22"/>
              </w:rPr>
            </w:pPr>
            <w:r>
              <w:rPr>
                <w:rFonts w:cs="Arial"/>
                <w:color w:val="000000"/>
                <w:szCs w:val="22"/>
              </w:rPr>
              <w:t>8</w:t>
            </w:r>
            <w:r w:rsidRPr="00A67602">
              <w:rPr>
                <w:rFonts w:cs="Arial"/>
                <w:color w:val="000000"/>
                <w:szCs w:val="22"/>
              </w:rPr>
              <w:t xml:space="preserve">  </w:t>
            </w:r>
          </w:p>
        </w:tc>
      </w:tr>
      <w:tr w:rsidR="002B7C48" w14:paraId="533BD4ED"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E8"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Licensing - Piercings &amp; Tattoos and Animals</w:t>
            </w:r>
          </w:p>
        </w:tc>
        <w:tc>
          <w:tcPr>
            <w:tcW w:w="1169" w:type="dxa"/>
            <w:tcBorders>
              <w:top w:val="nil"/>
              <w:left w:val="nil"/>
              <w:bottom w:val="single" w:sz="4" w:space="0" w:color="BFBFBF"/>
              <w:right w:val="single" w:sz="4" w:space="0" w:color="BFBFBF"/>
            </w:tcBorders>
            <w:shd w:val="clear" w:color="auto" w:fill="auto"/>
            <w:noWrap/>
            <w:vAlign w:val="center"/>
            <w:hideMark/>
          </w:tcPr>
          <w:p w14:paraId="533BD4E9"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(12)</w:t>
            </w:r>
          </w:p>
        </w:tc>
        <w:tc>
          <w:tcPr>
            <w:tcW w:w="1169" w:type="dxa"/>
            <w:tcBorders>
              <w:top w:val="nil"/>
              <w:left w:val="nil"/>
              <w:bottom w:val="single" w:sz="4" w:space="0" w:color="BFBFBF"/>
              <w:right w:val="single" w:sz="4" w:space="0" w:color="BFBFBF"/>
            </w:tcBorders>
            <w:shd w:val="clear" w:color="auto" w:fill="auto"/>
            <w:noWrap/>
            <w:vAlign w:val="center"/>
            <w:hideMark/>
          </w:tcPr>
          <w:p w14:paraId="533BD4EA"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(7)</w:t>
            </w:r>
          </w:p>
        </w:tc>
        <w:tc>
          <w:tcPr>
            <w:tcW w:w="1169" w:type="dxa"/>
            <w:tcBorders>
              <w:top w:val="nil"/>
              <w:left w:val="nil"/>
              <w:bottom w:val="single" w:sz="4" w:space="0" w:color="BFBFBF"/>
              <w:right w:val="single" w:sz="4" w:space="0" w:color="BFBFBF"/>
            </w:tcBorders>
            <w:shd w:val="clear" w:color="auto" w:fill="auto"/>
            <w:noWrap/>
            <w:vAlign w:val="center"/>
            <w:hideMark/>
          </w:tcPr>
          <w:p w14:paraId="533BD4EB"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8</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4EC" w14:textId="77777777" w:rsidR="00C01C52" w:rsidRPr="00A67602" w:rsidRDefault="00F60FAA" w:rsidP="00C01C52">
            <w:pPr>
              <w:spacing w:line="240" w:lineRule="auto"/>
              <w:jc w:val="right"/>
              <w:rPr>
                <w:rFonts w:cs="Arial"/>
                <w:color w:val="000000"/>
                <w:szCs w:val="22"/>
              </w:rPr>
            </w:pPr>
            <w:r>
              <w:rPr>
                <w:rFonts w:cs="Arial"/>
                <w:color w:val="000000"/>
                <w:szCs w:val="22"/>
              </w:rPr>
              <w:t>(1)</w:t>
            </w:r>
            <w:r w:rsidRPr="00A67602">
              <w:rPr>
                <w:rFonts w:cs="Arial"/>
                <w:color w:val="000000"/>
                <w:szCs w:val="22"/>
              </w:rPr>
              <w:t xml:space="preserve">  </w:t>
            </w:r>
          </w:p>
        </w:tc>
      </w:tr>
      <w:tr w:rsidR="002B7C48" w14:paraId="533BD4F3"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EE"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Licensing - Street Traders</w:t>
            </w:r>
          </w:p>
        </w:tc>
        <w:tc>
          <w:tcPr>
            <w:tcW w:w="1169" w:type="dxa"/>
            <w:tcBorders>
              <w:top w:val="nil"/>
              <w:left w:val="nil"/>
              <w:bottom w:val="single" w:sz="4" w:space="0" w:color="BFBFBF"/>
              <w:right w:val="single" w:sz="4" w:space="0" w:color="BFBFBF"/>
            </w:tcBorders>
            <w:shd w:val="clear" w:color="auto" w:fill="auto"/>
            <w:noWrap/>
            <w:vAlign w:val="center"/>
            <w:hideMark/>
          </w:tcPr>
          <w:p w14:paraId="533BD4EF"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(28)</w:t>
            </w:r>
          </w:p>
        </w:tc>
        <w:tc>
          <w:tcPr>
            <w:tcW w:w="1169" w:type="dxa"/>
            <w:tcBorders>
              <w:top w:val="nil"/>
              <w:left w:val="nil"/>
              <w:bottom w:val="single" w:sz="4" w:space="0" w:color="BFBFBF"/>
              <w:right w:val="single" w:sz="4" w:space="0" w:color="BFBFBF"/>
            </w:tcBorders>
            <w:shd w:val="clear" w:color="auto" w:fill="auto"/>
            <w:noWrap/>
            <w:vAlign w:val="center"/>
            <w:hideMark/>
          </w:tcPr>
          <w:p w14:paraId="533BD4F0"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(25)</w:t>
            </w:r>
          </w:p>
        </w:tc>
        <w:tc>
          <w:tcPr>
            <w:tcW w:w="1169" w:type="dxa"/>
            <w:tcBorders>
              <w:top w:val="nil"/>
              <w:left w:val="nil"/>
              <w:bottom w:val="single" w:sz="4" w:space="0" w:color="BFBFBF"/>
              <w:right w:val="single" w:sz="4" w:space="0" w:color="BFBFBF"/>
            </w:tcBorders>
            <w:shd w:val="clear" w:color="auto" w:fill="auto"/>
            <w:noWrap/>
            <w:vAlign w:val="center"/>
            <w:hideMark/>
          </w:tcPr>
          <w:p w14:paraId="533BD4F1"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26</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4F2" w14:textId="77777777" w:rsidR="00C01C52" w:rsidRPr="00A67602" w:rsidRDefault="00F60FAA" w:rsidP="00C01C52">
            <w:pPr>
              <w:spacing w:line="240" w:lineRule="auto"/>
              <w:jc w:val="right"/>
              <w:rPr>
                <w:rFonts w:cs="Arial"/>
                <w:color w:val="000000"/>
                <w:szCs w:val="22"/>
              </w:rPr>
            </w:pPr>
            <w:r>
              <w:rPr>
                <w:rFonts w:cs="Arial"/>
                <w:color w:val="000000"/>
                <w:szCs w:val="22"/>
              </w:rPr>
              <w:t>(1)</w:t>
            </w:r>
            <w:r w:rsidRPr="00A67602">
              <w:rPr>
                <w:rFonts w:cs="Arial"/>
                <w:color w:val="000000"/>
                <w:szCs w:val="22"/>
              </w:rPr>
              <w:t xml:space="preserve">  </w:t>
            </w:r>
          </w:p>
        </w:tc>
      </w:tr>
      <w:tr w:rsidR="002B7C48" w14:paraId="533BD4F9"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F4"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Pest Control</w:t>
            </w:r>
          </w:p>
        </w:tc>
        <w:tc>
          <w:tcPr>
            <w:tcW w:w="1169" w:type="dxa"/>
            <w:tcBorders>
              <w:top w:val="nil"/>
              <w:left w:val="nil"/>
              <w:bottom w:val="single" w:sz="4" w:space="0" w:color="BFBFBF"/>
              <w:right w:val="single" w:sz="4" w:space="0" w:color="BFBFBF"/>
            </w:tcBorders>
            <w:shd w:val="clear" w:color="auto" w:fill="auto"/>
            <w:noWrap/>
            <w:vAlign w:val="center"/>
            <w:hideMark/>
          </w:tcPr>
          <w:p w14:paraId="533BD4F5"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(44)</w:t>
            </w:r>
          </w:p>
        </w:tc>
        <w:tc>
          <w:tcPr>
            <w:tcW w:w="1169" w:type="dxa"/>
            <w:tcBorders>
              <w:top w:val="nil"/>
              <w:left w:val="nil"/>
              <w:bottom w:val="single" w:sz="4" w:space="0" w:color="BFBFBF"/>
              <w:right w:val="single" w:sz="4" w:space="0" w:color="BFBFBF"/>
            </w:tcBorders>
            <w:shd w:val="clear" w:color="auto" w:fill="auto"/>
            <w:noWrap/>
            <w:vAlign w:val="center"/>
            <w:hideMark/>
          </w:tcPr>
          <w:p w14:paraId="533BD4F6"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(39)</w:t>
            </w:r>
          </w:p>
        </w:tc>
        <w:tc>
          <w:tcPr>
            <w:tcW w:w="1169" w:type="dxa"/>
            <w:tcBorders>
              <w:top w:val="nil"/>
              <w:left w:val="nil"/>
              <w:bottom w:val="single" w:sz="4" w:space="0" w:color="BFBFBF"/>
              <w:right w:val="single" w:sz="4" w:space="0" w:color="BFBFBF"/>
            </w:tcBorders>
            <w:shd w:val="clear" w:color="auto" w:fill="auto"/>
            <w:noWrap/>
            <w:vAlign w:val="center"/>
            <w:hideMark/>
          </w:tcPr>
          <w:p w14:paraId="533BD4F7"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50</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4F8" w14:textId="77777777" w:rsidR="00C01C52" w:rsidRPr="00A67602" w:rsidRDefault="00F60FAA" w:rsidP="00C01C52">
            <w:pPr>
              <w:spacing w:line="240" w:lineRule="auto"/>
              <w:jc w:val="right"/>
              <w:rPr>
                <w:rFonts w:cs="Arial"/>
                <w:color w:val="000000"/>
                <w:szCs w:val="22"/>
              </w:rPr>
            </w:pPr>
            <w:r>
              <w:rPr>
                <w:rFonts w:cs="Arial"/>
                <w:color w:val="000000"/>
                <w:szCs w:val="22"/>
              </w:rPr>
              <w:t>(10)</w:t>
            </w:r>
            <w:r w:rsidRPr="00A67602">
              <w:rPr>
                <w:rFonts w:cs="Arial"/>
                <w:color w:val="000000"/>
                <w:szCs w:val="22"/>
              </w:rPr>
              <w:t xml:space="preserve">  </w:t>
            </w:r>
          </w:p>
        </w:tc>
      </w:tr>
      <w:tr w:rsidR="002B7C48" w14:paraId="533BD4FF"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4FA"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Property rental - Civic Centre</w:t>
            </w:r>
          </w:p>
        </w:tc>
        <w:tc>
          <w:tcPr>
            <w:tcW w:w="1169" w:type="dxa"/>
            <w:tcBorders>
              <w:top w:val="nil"/>
              <w:left w:val="nil"/>
              <w:bottom w:val="single" w:sz="4" w:space="0" w:color="BFBFBF"/>
              <w:right w:val="single" w:sz="4" w:space="0" w:color="BFBFBF"/>
            </w:tcBorders>
            <w:shd w:val="clear" w:color="auto" w:fill="auto"/>
            <w:noWrap/>
            <w:vAlign w:val="center"/>
            <w:hideMark/>
          </w:tcPr>
          <w:p w14:paraId="533BD4FB"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(71)</w:t>
            </w:r>
          </w:p>
        </w:tc>
        <w:tc>
          <w:tcPr>
            <w:tcW w:w="1169" w:type="dxa"/>
            <w:tcBorders>
              <w:top w:val="nil"/>
              <w:left w:val="nil"/>
              <w:bottom w:val="single" w:sz="4" w:space="0" w:color="BFBFBF"/>
              <w:right w:val="single" w:sz="4" w:space="0" w:color="BFBFBF"/>
            </w:tcBorders>
            <w:shd w:val="clear" w:color="auto" w:fill="auto"/>
            <w:noWrap/>
            <w:vAlign w:val="center"/>
            <w:hideMark/>
          </w:tcPr>
          <w:p w14:paraId="533BD4FC"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(50)</w:t>
            </w:r>
          </w:p>
        </w:tc>
        <w:tc>
          <w:tcPr>
            <w:tcW w:w="1169" w:type="dxa"/>
            <w:tcBorders>
              <w:top w:val="nil"/>
              <w:left w:val="nil"/>
              <w:bottom w:val="single" w:sz="4" w:space="0" w:color="BFBFBF"/>
              <w:right w:val="single" w:sz="4" w:space="0" w:color="BFBFBF"/>
            </w:tcBorders>
            <w:shd w:val="clear" w:color="auto" w:fill="auto"/>
            <w:noWrap/>
            <w:vAlign w:val="center"/>
            <w:hideMark/>
          </w:tcPr>
          <w:p w14:paraId="533BD4FD"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(71)</w:t>
            </w:r>
          </w:p>
        </w:tc>
        <w:tc>
          <w:tcPr>
            <w:tcW w:w="1170" w:type="dxa"/>
            <w:tcBorders>
              <w:top w:val="nil"/>
              <w:left w:val="nil"/>
              <w:bottom w:val="single" w:sz="4" w:space="0" w:color="BFBFBF"/>
              <w:right w:val="single" w:sz="4" w:space="0" w:color="auto"/>
            </w:tcBorders>
            <w:shd w:val="clear" w:color="auto" w:fill="auto"/>
            <w:noWrap/>
            <w:vAlign w:val="center"/>
            <w:hideMark/>
          </w:tcPr>
          <w:p w14:paraId="533BD4FE"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(21)</w:t>
            </w:r>
          </w:p>
        </w:tc>
      </w:tr>
      <w:tr w:rsidR="002B7C48" w14:paraId="533BD505"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00"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Property rental - Market</w:t>
            </w:r>
          </w:p>
        </w:tc>
        <w:tc>
          <w:tcPr>
            <w:tcW w:w="1169" w:type="dxa"/>
            <w:tcBorders>
              <w:top w:val="nil"/>
              <w:left w:val="nil"/>
              <w:bottom w:val="single" w:sz="4" w:space="0" w:color="BFBFBF"/>
              <w:right w:val="single" w:sz="4" w:space="0" w:color="BFBFBF"/>
            </w:tcBorders>
            <w:shd w:val="clear" w:color="auto" w:fill="auto"/>
            <w:noWrap/>
            <w:vAlign w:val="center"/>
            <w:hideMark/>
          </w:tcPr>
          <w:p w14:paraId="533BD501"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(139)</w:t>
            </w:r>
          </w:p>
        </w:tc>
        <w:tc>
          <w:tcPr>
            <w:tcW w:w="1169" w:type="dxa"/>
            <w:tcBorders>
              <w:top w:val="nil"/>
              <w:left w:val="nil"/>
              <w:bottom w:val="single" w:sz="4" w:space="0" w:color="BFBFBF"/>
              <w:right w:val="single" w:sz="4" w:space="0" w:color="BFBFBF"/>
            </w:tcBorders>
            <w:shd w:val="clear" w:color="auto" w:fill="auto"/>
            <w:noWrap/>
            <w:vAlign w:val="center"/>
            <w:hideMark/>
          </w:tcPr>
          <w:p w14:paraId="533BD502"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(142)</w:t>
            </w:r>
          </w:p>
        </w:tc>
        <w:tc>
          <w:tcPr>
            <w:tcW w:w="1169" w:type="dxa"/>
            <w:tcBorders>
              <w:top w:val="nil"/>
              <w:left w:val="nil"/>
              <w:bottom w:val="single" w:sz="4" w:space="0" w:color="BFBFBF"/>
              <w:right w:val="single" w:sz="4" w:space="0" w:color="BFBFBF"/>
            </w:tcBorders>
            <w:shd w:val="clear" w:color="auto" w:fill="auto"/>
            <w:noWrap/>
            <w:vAlign w:val="center"/>
            <w:hideMark/>
          </w:tcPr>
          <w:p w14:paraId="533BD503"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(142)</w:t>
            </w:r>
          </w:p>
        </w:tc>
        <w:tc>
          <w:tcPr>
            <w:tcW w:w="1170" w:type="dxa"/>
            <w:tcBorders>
              <w:top w:val="nil"/>
              <w:left w:val="nil"/>
              <w:bottom w:val="single" w:sz="4" w:space="0" w:color="BFBFBF"/>
              <w:right w:val="single" w:sz="4" w:space="0" w:color="auto"/>
            </w:tcBorders>
            <w:shd w:val="clear" w:color="auto" w:fill="auto"/>
            <w:noWrap/>
            <w:vAlign w:val="center"/>
            <w:hideMark/>
          </w:tcPr>
          <w:p w14:paraId="533BD504"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 xml:space="preserve">-  </w:t>
            </w:r>
          </w:p>
        </w:tc>
      </w:tr>
      <w:tr w:rsidR="002B7C48" w14:paraId="533BD50B"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06"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Property rental - Moss Side Depot</w:t>
            </w:r>
          </w:p>
        </w:tc>
        <w:tc>
          <w:tcPr>
            <w:tcW w:w="1169" w:type="dxa"/>
            <w:tcBorders>
              <w:top w:val="nil"/>
              <w:left w:val="nil"/>
              <w:bottom w:val="single" w:sz="4" w:space="0" w:color="BFBFBF"/>
              <w:right w:val="single" w:sz="4" w:space="0" w:color="BFBFBF"/>
            </w:tcBorders>
            <w:shd w:val="clear" w:color="auto" w:fill="auto"/>
            <w:noWrap/>
            <w:vAlign w:val="center"/>
            <w:hideMark/>
          </w:tcPr>
          <w:p w14:paraId="533BD507"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(13)</w:t>
            </w:r>
          </w:p>
        </w:tc>
        <w:tc>
          <w:tcPr>
            <w:tcW w:w="1169" w:type="dxa"/>
            <w:tcBorders>
              <w:top w:val="nil"/>
              <w:left w:val="nil"/>
              <w:bottom w:val="single" w:sz="4" w:space="0" w:color="BFBFBF"/>
              <w:right w:val="single" w:sz="4" w:space="0" w:color="BFBFBF"/>
            </w:tcBorders>
            <w:shd w:val="clear" w:color="auto" w:fill="auto"/>
            <w:noWrap/>
            <w:vAlign w:val="center"/>
            <w:hideMark/>
          </w:tcPr>
          <w:p w14:paraId="533BD508"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(43)</w:t>
            </w:r>
          </w:p>
        </w:tc>
        <w:tc>
          <w:tcPr>
            <w:tcW w:w="1169" w:type="dxa"/>
            <w:tcBorders>
              <w:top w:val="nil"/>
              <w:left w:val="nil"/>
              <w:bottom w:val="single" w:sz="4" w:space="0" w:color="BFBFBF"/>
              <w:right w:val="single" w:sz="4" w:space="0" w:color="BFBFBF"/>
            </w:tcBorders>
            <w:shd w:val="clear" w:color="auto" w:fill="auto"/>
            <w:noWrap/>
            <w:vAlign w:val="center"/>
            <w:hideMark/>
          </w:tcPr>
          <w:p w14:paraId="533BD509"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w:t>
            </w:r>
            <w:r>
              <w:rPr>
                <w:rFonts w:cs="Arial"/>
                <w:color w:val="000000"/>
                <w:szCs w:val="22"/>
              </w:rPr>
              <w:t>7</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0A"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5</w:t>
            </w:r>
            <w:r w:rsidRPr="00A67602">
              <w:rPr>
                <w:rFonts w:cs="Arial"/>
                <w:color w:val="000000"/>
                <w:szCs w:val="22"/>
              </w:rPr>
              <w:t>)</w:t>
            </w:r>
          </w:p>
        </w:tc>
      </w:tr>
      <w:tr w:rsidR="002B7C48" w14:paraId="533BD511"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0C"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Property rental - Worden Craft Centre</w:t>
            </w:r>
          </w:p>
        </w:tc>
        <w:tc>
          <w:tcPr>
            <w:tcW w:w="1169" w:type="dxa"/>
            <w:tcBorders>
              <w:top w:val="nil"/>
              <w:left w:val="nil"/>
              <w:bottom w:val="single" w:sz="4" w:space="0" w:color="BFBFBF"/>
              <w:right w:val="single" w:sz="4" w:space="0" w:color="BFBFBF"/>
            </w:tcBorders>
            <w:shd w:val="clear" w:color="auto" w:fill="auto"/>
            <w:noWrap/>
            <w:vAlign w:val="center"/>
            <w:hideMark/>
          </w:tcPr>
          <w:p w14:paraId="533BD50D"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(13)</w:t>
            </w:r>
          </w:p>
        </w:tc>
        <w:tc>
          <w:tcPr>
            <w:tcW w:w="1169" w:type="dxa"/>
            <w:tcBorders>
              <w:top w:val="nil"/>
              <w:left w:val="nil"/>
              <w:bottom w:val="single" w:sz="4" w:space="0" w:color="BFBFBF"/>
              <w:right w:val="single" w:sz="4" w:space="0" w:color="BFBFBF"/>
            </w:tcBorders>
            <w:shd w:val="clear" w:color="auto" w:fill="auto"/>
            <w:noWrap/>
            <w:vAlign w:val="center"/>
            <w:hideMark/>
          </w:tcPr>
          <w:p w14:paraId="533BD50E"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(15)</w:t>
            </w:r>
          </w:p>
        </w:tc>
        <w:tc>
          <w:tcPr>
            <w:tcW w:w="1169" w:type="dxa"/>
            <w:tcBorders>
              <w:top w:val="nil"/>
              <w:left w:val="nil"/>
              <w:bottom w:val="single" w:sz="4" w:space="0" w:color="BFBFBF"/>
              <w:right w:val="single" w:sz="4" w:space="0" w:color="BFBFBF"/>
            </w:tcBorders>
            <w:shd w:val="clear" w:color="auto" w:fill="auto"/>
            <w:noWrap/>
            <w:vAlign w:val="center"/>
            <w:hideMark/>
          </w:tcPr>
          <w:p w14:paraId="533BD50F"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w:t>
            </w:r>
            <w:r>
              <w:rPr>
                <w:rFonts w:cs="Arial"/>
                <w:color w:val="000000"/>
                <w:szCs w:val="22"/>
              </w:rPr>
              <w:t>4</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10" w14:textId="77777777" w:rsidR="00C01C52" w:rsidRPr="00A67602" w:rsidRDefault="00F60FAA" w:rsidP="00C01C52">
            <w:pPr>
              <w:spacing w:line="240" w:lineRule="auto"/>
              <w:jc w:val="right"/>
              <w:rPr>
                <w:rFonts w:cs="Arial"/>
                <w:color w:val="000000"/>
                <w:szCs w:val="22"/>
              </w:rPr>
            </w:pPr>
            <w:r>
              <w:rPr>
                <w:rFonts w:cs="Arial"/>
                <w:color w:val="000000"/>
                <w:szCs w:val="22"/>
              </w:rPr>
              <w:t>1</w:t>
            </w:r>
            <w:r w:rsidRPr="00A67602">
              <w:rPr>
                <w:rFonts w:cs="Arial"/>
                <w:color w:val="000000"/>
                <w:szCs w:val="22"/>
              </w:rPr>
              <w:t xml:space="preserve"> </w:t>
            </w:r>
          </w:p>
        </w:tc>
      </w:tr>
      <w:tr w:rsidR="002B7C48" w14:paraId="533BD517"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12"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Refuse Collection - Garden waste</w:t>
            </w:r>
          </w:p>
        </w:tc>
        <w:tc>
          <w:tcPr>
            <w:tcW w:w="1169" w:type="dxa"/>
            <w:tcBorders>
              <w:top w:val="nil"/>
              <w:left w:val="nil"/>
              <w:bottom w:val="single" w:sz="4" w:space="0" w:color="BFBFBF"/>
              <w:right w:val="single" w:sz="4" w:space="0" w:color="BFBFBF"/>
            </w:tcBorders>
            <w:shd w:val="clear" w:color="auto" w:fill="auto"/>
            <w:noWrap/>
            <w:vAlign w:val="center"/>
            <w:hideMark/>
          </w:tcPr>
          <w:p w14:paraId="533BD513"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(789)</w:t>
            </w:r>
          </w:p>
        </w:tc>
        <w:tc>
          <w:tcPr>
            <w:tcW w:w="1169" w:type="dxa"/>
            <w:tcBorders>
              <w:top w:val="nil"/>
              <w:left w:val="nil"/>
              <w:bottom w:val="single" w:sz="4" w:space="0" w:color="BFBFBF"/>
              <w:right w:val="single" w:sz="4" w:space="0" w:color="BFBFBF"/>
            </w:tcBorders>
            <w:shd w:val="clear" w:color="auto" w:fill="auto"/>
            <w:noWrap/>
            <w:vAlign w:val="center"/>
            <w:hideMark/>
          </w:tcPr>
          <w:p w14:paraId="533BD514"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(650)</w:t>
            </w:r>
          </w:p>
        </w:tc>
        <w:tc>
          <w:tcPr>
            <w:tcW w:w="1169" w:type="dxa"/>
            <w:tcBorders>
              <w:top w:val="nil"/>
              <w:left w:val="nil"/>
              <w:bottom w:val="single" w:sz="4" w:space="0" w:color="BFBFBF"/>
              <w:right w:val="single" w:sz="4" w:space="0" w:color="BFBFBF"/>
            </w:tcBorders>
            <w:shd w:val="clear" w:color="auto" w:fill="auto"/>
            <w:noWrap/>
            <w:vAlign w:val="center"/>
            <w:hideMark/>
          </w:tcPr>
          <w:p w14:paraId="533BD515" w14:textId="77777777" w:rsidR="00C01C52" w:rsidRPr="002878D6" w:rsidRDefault="00F60FAA" w:rsidP="00C01C52">
            <w:pPr>
              <w:spacing w:line="240" w:lineRule="auto"/>
              <w:jc w:val="right"/>
              <w:rPr>
                <w:rFonts w:cs="Arial"/>
                <w:color w:val="000000"/>
                <w:szCs w:val="22"/>
              </w:rPr>
            </w:pPr>
            <w:r w:rsidRPr="002878D6">
              <w:rPr>
                <w:rFonts w:cs="Arial"/>
                <w:color w:val="000000"/>
                <w:szCs w:val="22"/>
              </w:rPr>
              <w:t>(809)</w:t>
            </w:r>
          </w:p>
        </w:tc>
        <w:tc>
          <w:tcPr>
            <w:tcW w:w="1170" w:type="dxa"/>
            <w:tcBorders>
              <w:top w:val="nil"/>
              <w:left w:val="nil"/>
              <w:bottom w:val="single" w:sz="4" w:space="0" w:color="BFBFBF"/>
              <w:right w:val="single" w:sz="4" w:space="0" w:color="auto"/>
            </w:tcBorders>
            <w:shd w:val="clear" w:color="auto" w:fill="auto"/>
            <w:noWrap/>
            <w:vAlign w:val="center"/>
            <w:hideMark/>
          </w:tcPr>
          <w:p w14:paraId="533BD516" w14:textId="77777777" w:rsidR="00C01C52" w:rsidRPr="002878D6" w:rsidRDefault="00F60FAA" w:rsidP="00C01C52">
            <w:pPr>
              <w:spacing w:line="240" w:lineRule="auto"/>
              <w:jc w:val="right"/>
              <w:rPr>
                <w:rFonts w:cs="Arial"/>
                <w:color w:val="000000"/>
                <w:szCs w:val="22"/>
              </w:rPr>
            </w:pPr>
            <w:r w:rsidRPr="002878D6">
              <w:rPr>
                <w:rFonts w:cs="Arial"/>
                <w:color w:val="000000"/>
                <w:szCs w:val="22"/>
              </w:rPr>
              <w:t>(158)</w:t>
            </w:r>
          </w:p>
        </w:tc>
      </w:tr>
      <w:tr w:rsidR="002B7C48" w14:paraId="533BD51D"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18"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Refuse Collection - New bins</w:t>
            </w:r>
          </w:p>
        </w:tc>
        <w:tc>
          <w:tcPr>
            <w:tcW w:w="1169" w:type="dxa"/>
            <w:tcBorders>
              <w:top w:val="nil"/>
              <w:left w:val="nil"/>
              <w:bottom w:val="single" w:sz="4" w:space="0" w:color="BFBFBF"/>
              <w:right w:val="single" w:sz="4" w:space="0" w:color="BFBFBF"/>
            </w:tcBorders>
            <w:shd w:val="clear" w:color="auto" w:fill="auto"/>
            <w:noWrap/>
            <w:vAlign w:val="center"/>
            <w:hideMark/>
          </w:tcPr>
          <w:p w14:paraId="533BD519"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(46)</w:t>
            </w:r>
          </w:p>
        </w:tc>
        <w:tc>
          <w:tcPr>
            <w:tcW w:w="1169" w:type="dxa"/>
            <w:tcBorders>
              <w:top w:val="nil"/>
              <w:left w:val="nil"/>
              <w:bottom w:val="single" w:sz="4" w:space="0" w:color="BFBFBF"/>
              <w:right w:val="single" w:sz="4" w:space="0" w:color="BFBFBF"/>
            </w:tcBorders>
            <w:shd w:val="clear" w:color="auto" w:fill="auto"/>
            <w:noWrap/>
            <w:vAlign w:val="center"/>
            <w:hideMark/>
          </w:tcPr>
          <w:p w14:paraId="533BD51A"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(65)</w:t>
            </w:r>
          </w:p>
        </w:tc>
        <w:tc>
          <w:tcPr>
            <w:tcW w:w="1169" w:type="dxa"/>
            <w:tcBorders>
              <w:top w:val="nil"/>
              <w:left w:val="nil"/>
              <w:bottom w:val="single" w:sz="4" w:space="0" w:color="BFBFBF"/>
              <w:right w:val="single" w:sz="4" w:space="0" w:color="BFBFBF"/>
            </w:tcBorders>
            <w:shd w:val="clear" w:color="auto" w:fill="auto"/>
            <w:noWrap/>
            <w:vAlign w:val="center"/>
            <w:hideMark/>
          </w:tcPr>
          <w:p w14:paraId="533BD51B"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57</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1C" w14:textId="77777777" w:rsidR="00C01C52" w:rsidRPr="00A67602" w:rsidRDefault="00F60FAA" w:rsidP="00C01C52">
            <w:pPr>
              <w:spacing w:line="240" w:lineRule="auto"/>
              <w:jc w:val="right"/>
              <w:rPr>
                <w:rFonts w:cs="Arial"/>
                <w:color w:val="000000"/>
                <w:szCs w:val="22"/>
              </w:rPr>
            </w:pPr>
            <w:r>
              <w:rPr>
                <w:rFonts w:cs="Arial"/>
                <w:color w:val="000000"/>
                <w:szCs w:val="22"/>
              </w:rPr>
              <w:t>8</w:t>
            </w:r>
          </w:p>
        </w:tc>
      </w:tr>
      <w:tr w:rsidR="002B7C48" w14:paraId="533BD523"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1E"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Refuse Collection - Special collections</w:t>
            </w:r>
          </w:p>
        </w:tc>
        <w:tc>
          <w:tcPr>
            <w:tcW w:w="1169" w:type="dxa"/>
            <w:tcBorders>
              <w:top w:val="nil"/>
              <w:left w:val="nil"/>
              <w:bottom w:val="single" w:sz="4" w:space="0" w:color="BFBFBF"/>
              <w:right w:val="single" w:sz="4" w:space="0" w:color="BFBFBF"/>
            </w:tcBorders>
            <w:shd w:val="clear" w:color="auto" w:fill="auto"/>
            <w:noWrap/>
            <w:vAlign w:val="center"/>
            <w:hideMark/>
          </w:tcPr>
          <w:p w14:paraId="533BD51F"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(41)</w:t>
            </w:r>
          </w:p>
        </w:tc>
        <w:tc>
          <w:tcPr>
            <w:tcW w:w="1169" w:type="dxa"/>
            <w:tcBorders>
              <w:top w:val="nil"/>
              <w:left w:val="nil"/>
              <w:bottom w:val="single" w:sz="4" w:space="0" w:color="BFBFBF"/>
              <w:right w:val="single" w:sz="4" w:space="0" w:color="BFBFBF"/>
            </w:tcBorders>
            <w:shd w:val="clear" w:color="auto" w:fill="auto"/>
            <w:noWrap/>
            <w:vAlign w:val="center"/>
            <w:hideMark/>
          </w:tcPr>
          <w:p w14:paraId="533BD520"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(40)</w:t>
            </w:r>
          </w:p>
        </w:tc>
        <w:tc>
          <w:tcPr>
            <w:tcW w:w="1169" w:type="dxa"/>
            <w:tcBorders>
              <w:top w:val="nil"/>
              <w:left w:val="nil"/>
              <w:bottom w:val="single" w:sz="4" w:space="0" w:color="BFBFBF"/>
              <w:right w:val="single" w:sz="4" w:space="0" w:color="BFBFBF"/>
            </w:tcBorders>
            <w:shd w:val="clear" w:color="auto" w:fill="auto"/>
            <w:noWrap/>
            <w:vAlign w:val="center"/>
            <w:hideMark/>
          </w:tcPr>
          <w:p w14:paraId="533BD521"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40</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22" w14:textId="77777777" w:rsidR="00C01C52" w:rsidRPr="00A67602" w:rsidRDefault="00F60FAA" w:rsidP="00C01C52">
            <w:pPr>
              <w:spacing w:line="240" w:lineRule="auto"/>
              <w:jc w:val="right"/>
              <w:rPr>
                <w:rFonts w:cs="Arial"/>
                <w:color w:val="000000"/>
                <w:szCs w:val="22"/>
              </w:rPr>
            </w:pPr>
            <w:r>
              <w:rPr>
                <w:rFonts w:cs="Arial"/>
                <w:color w:val="000000"/>
                <w:szCs w:val="22"/>
              </w:rPr>
              <w:t>-</w:t>
            </w:r>
          </w:p>
        </w:tc>
      </w:tr>
      <w:tr w:rsidR="002B7C48" w14:paraId="533BD529"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24"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Refuse Collection - Trade Waste</w:t>
            </w:r>
          </w:p>
        </w:tc>
        <w:tc>
          <w:tcPr>
            <w:tcW w:w="1169" w:type="dxa"/>
            <w:tcBorders>
              <w:top w:val="nil"/>
              <w:left w:val="nil"/>
              <w:bottom w:val="single" w:sz="4" w:space="0" w:color="BFBFBF"/>
              <w:right w:val="single" w:sz="4" w:space="0" w:color="BFBFBF"/>
            </w:tcBorders>
            <w:shd w:val="clear" w:color="auto" w:fill="auto"/>
            <w:noWrap/>
            <w:vAlign w:val="center"/>
            <w:hideMark/>
          </w:tcPr>
          <w:p w14:paraId="533BD525"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(460)</w:t>
            </w:r>
          </w:p>
        </w:tc>
        <w:tc>
          <w:tcPr>
            <w:tcW w:w="1169" w:type="dxa"/>
            <w:tcBorders>
              <w:top w:val="nil"/>
              <w:left w:val="nil"/>
              <w:bottom w:val="single" w:sz="4" w:space="0" w:color="BFBFBF"/>
              <w:right w:val="single" w:sz="4" w:space="0" w:color="BFBFBF"/>
            </w:tcBorders>
            <w:shd w:val="clear" w:color="auto" w:fill="auto"/>
            <w:noWrap/>
            <w:vAlign w:val="center"/>
            <w:hideMark/>
          </w:tcPr>
          <w:p w14:paraId="533BD526"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(477)</w:t>
            </w:r>
          </w:p>
        </w:tc>
        <w:tc>
          <w:tcPr>
            <w:tcW w:w="1169" w:type="dxa"/>
            <w:tcBorders>
              <w:top w:val="nil"/>
              <w:left w:val="nil"/>
              <w:bottom w:val="single" w:sz="4" w:space="0" w:color="BFBFBF"/>
              <w:right w:val="single" w:sz="4" w:space="0" w:color="BFBFBF"/>
            </w:tcBorders>
            <w:shd w:val="clear" w:color="auto" w:fill="auto"/>
            <w:noWrap/>
            <w:vAlign w:val="center"/>
            <w:hideMark/>
          </w:tcPr>
          <w:p w14:paraId="533BD527"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w:t>
            </w:r>
            <w:r>
              <w:rPr>
                <w:rFonts w:cs="Arial"/>
                <w:color w:val="000000"/>
                <w:szCs w:val="22"/>
              </w:rPr>
              <w:t>45</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28" w14:textId="77777777" w:rsidR="00C01C52" w:rsidRPr="00A67602" w:rsidRDefault="00F60FAA" w:rsidP="00C01C52">
            <w:pPr>
              <w:spacing w:line="240" w:lineRule="auto"/>
              <w:jc w:val="right"/>
              <w:rPr>
                <w:rFonts w:cs="Arial"/>
                <w:color w:val="000000"/>
                <w:szCs w:val="22"/>
              </w:rPr>
            </w:pPr>
            <w:r>
              <w:rPr>
                <w:rFonts w:cs="Arial"/>
                <w:color w:val="000000"/>
                <w:szCs w:val="22"/>
              </w:rPr>
              <w:t>32</w:t>
            </w:r>
            <w:r w:rsidRPr="00A67602">
              <w:rPr>
                <w:rFonts w:cs="Arial"/>
                <w:color w:val="000000"/>
                <w:szCs w:val="22"/>
              </w:rPr>
              <w:t xml:space="preserve"> </w:t>
            </w:r>
          </w:p>
        </w:tc>
      </w:tr>
      <w:tr w:rsidR="002B7C48" w14:paraId="533BD52F"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2A"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 xml:space="preserve">Vehicle Maintenance </w:t>
            </w:r>
            <w:r>
              <w:rPr>
                <w:rFonts w:cs="Arial"/>
                <w:color w:val="000000"/>
                <w:szCs w:val="22"/>
              </w:rPr>
              <w:t xml:space="preserve">contract </w:t>
            </w:r>
          </w:p>
        </w:tc>
        <w:tc>
          <w:tcPr>
            <w:tcW w:w="1169" w:type="dxa"/>
            <w:tcBorders>
              <w:top w:val="nil"/>
              <w:left w:val="nil"/>
              <w:bottom w:val="single" w:sz="4" w:space="0" w:color="BFBFBF"/>
              <w:right w:val="single" w:sz="4" w:space="0" w:color="BFBFBF"/>
            </w:tcBorders>
            <w:shd w:val="clear" w:color="auto" w:fill="auto"/>
            <w:noWrap/>
            <w:vAlign w:val="center"/>
            <w:hideMark/>
          </w:tcPr>
          <w:p w14:paraId="533BD52B" w14:textId="77777777" w:rsidR="00C01C52" w:rsidRPr="00A67602" w:rsidRDefault="00F60FAA" w:rsidP="00C01C52">
            <w:pPr>
              <w:spacing w:line="240" w:lineRule="auto"/>
              <w:jc w:val="right"/>
              <w:rPr>
                <w:rFonts w:cs="Arial"/>
                <w:color w:val="000000"/>
                <w:szCs w:val="22"/>
              </w:rPr>
            </w:pPr>
            <w:r>
              <w:rPr>
                <w:rFonts w:cs="Arial"/>
                <w:color w:val="000000"/>
                <w:szCs w:val="22"/>
              </w:rPr>
              <w:t>0</w:t>
            </w:r>
          </w:p>
        </w:tc>
        <w:tc>
          <w:tcPr>
            <w:tcW w:w="1169" w:type="dxa"/>
            <w:tcBorders>
              <w:top w:val="nil"/>
              <w:left w:val="nil"/>
              <w:bottom w:val="single" w:sz="4" w:space="0" w:color="BFBFBF"/>
              <w:right w:val="single" w:sz="4" w:space="0" w:color="BFBFBF"/>
            </w:tcBorders>
            <w:shd w:val="clear" w:color="auto" w:fill="auto"/>
            <w:noWrap/>
            <w:vAlign w:val="center"/>
            <w:hideMark/>
          </w:tcPr>
          <w:p w14:paraId="533BD52C" w14:textId="77777777" w:rsidR="00C01C52" w:rsidRPr="00534398" w:rsidRDefault="00F60FAA" w:rsidP="00C01C52">
            <w:pPr>
              <w:spacing w:line="240" w:lineRule="auto"/>
              <w:jc w:val="right"/>
              <w:rPr>
                <w:rFonts w:cs="Arial"/>
                <w:szCs w:val="22"/>
              </w:rPr>
            </w:pPr>
            <w:r w:rsidRPr="00534398">
              <w:rPr>
                <w:rFonts w:cs="Arial"/>
                <w:szCs w:val="22"/>
              </w:rPr>
              <w:t>(13)</w:t>
            </w:r>
          </w:p>
        </w:tc>
        <w:tc>
          <w:tcPr>
            <w:tcW w:w="1169" w:type="dxa"/>
            <w:tcBorders>
              <w:top w:val="nil"/>
              <w:left w:val="nil"/>
              <w:bottom w:val="single" w:sz="4" w:space="0" w:color="BFBFBF"/>
              <w:right w:val="single" w:sz="4" w:space="0" w:color="BFBFBF"/>
            </w:tcBorders>
            <w:shd w:val="clear" w:color="auto" w:fill="auto"/>
            <w:noWrap/>
            <w:vAlign w:val="center"/>
            <w:hideMark/>
          </w:tcPr>
          <w:p w14:paraId="533BD52D" w14:textId="77777777" w:rsidR="00C01C52" w:rsidRPr="00534398" w:rsidRDefault="00F60FAA" w:rsidP="00C01C52">
            <w:pPr>
              <w:spacing w:line="240" w:lineRule="auto"/>
              <w:jc w:val="right"/>
              <w:rPr>
                <w:rFonts w:cs="Arial"/>
                <w:szCs w:val="22"/>
              </w:rPr>
            </w:pPr>
            <w:r w:rsidRPr="00534398">
              <w:rPr>
                <w:rFonts w:cs="Arial"/>
                <w:szCs w:val="22"/>
              </w:rPr>
              <w:t>(</w:t>
            </w:r>
            <w:r>
              <w:rPr>
                <w:rFonts w:cs="Arial"/>
                <w:szCs w:val="22"/>
              </w:rPr>
              <w:t>112</w:t>
            </w:r>
            <w:r w:rsidRPr="00534398">
              <w:rPr>
                <w:rFonts w:cs="Arial"/>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2E" w14:textId="77777777" w:rsidR="00C01C52" w:rsidRPr="00534398" w:rsidRDefault="00F60FAA" w:rsidP="00C01C52">
            <w:pPr>
              <w:spacing w:line="240" w:lineRule="auto"/>
              <w:jc w:val="right"/>
              <w:rPr>
                <w:rFonts w:cs="Arial"/>
                <w:szCs w:val="22"/>
              </w:rPr>
            </w:pPr>
            <w:r w:rsidRPr="00534398">
              <w:rPr>
                <w:rFonts w:cs="Arial"/>
                <w:szCs w:val="22"/>
              </w:rPr>
              <w:t>(</w:t>
            </w:r>
            <w:r>
              <w:rPr>
                <w:rFonts w:cs="Arial"/>
                <w:szCs w:val="22"/>
              </w:rPr>
              <w:t>99</w:t>
            </w:r>
            <w:r w:rsidRPr="00534398">
              <w:rPr>
                <w:rFonts w:cs="Arial"/>
                <w:szCs w:val="22"/>
              </w:rPr>
              <w:t>)</w:t>
            </w:r>
          </w:p>
        </w:tc>
      </w:tr>
      <w:tr w:rsidR="002B7C48" w14:paraId="533BD535" w14:textId="77777777" w:rsidTr="00C01C52">
        <w:trPr>
          <w:trHeight w:val="284"/>
        </w:trPr>
        <w:tc>
          <w:tcPr>
            <w:tcW w:w="4536" w:type="dxa"/>
            <w:tcBorders>
              <w:top w:val="nil"/>
              <w:left w:val="single" w:sz="4" w:space="0" w:color="auto"/>
              <w:bottom w:val="nil"/>
              <w:right w:val="nil"/>
            </w:tcBorders>
            <w:shd w:val="clear" w:color="auto" w:fill="auto"/>
            <w:noWrap/>
            <w:vAlign w:val="center"/>
            <w:hideMark/>
          </w:tcPr>
          <w:p w14:paraId="533BD530" w14:textId="77777777" w:rsidR="00C01C52" w:rsidRPr="00017022" w:rsidRDefault="00F60FAA" w:rsidP="00C01C52">
            <w:pPr>
              <w:spacing w:before="120" w:line="240" w:lineRule="auto"/>
              <w:jc w:val="left"/>
              <w:rPr>
                <w:rFonts w:cs="Arial"/>
                <w:b/>
                <w:bCs/>
                <w:szCs w:val="22"/>
              </w:rPr>
            </w:pPr>
            <w:r w:rsidRPr="00017022">
              <w:rPr>
                <w:rFonts w:cs="Arial"/>
                <w:b/>
                <w:bCs/>
                <w:szCs w:val="22"/>
              </w:rPr>
              <w:t>Planning &amp; Property</w:t>
            </w:r>
          </w:p>
        </w:tc>
        <w:tc>
          <w:tcPr>
            <w:tcW w:w="1169" w:type="dxa"/>
            <w:tcBorders>
              <w:top w:val="nil"/>
              <w:left w:val="nil"/>
              <w:bottom w:val="nil"/>
              <w:right w:val="nil"/>
            </w:tcBorders>
            <w:shd w:val="clear" w:color="auto" w:fill="auto"/>
            <w:noWrap/>
            <w:vAlign w:val="center"/>
            <w:hideMark/>
          </w:tcPr>
          <w:p w14:paraId="533BD531" w14:textId="77777777" w:rsidR="00C01C52" w:rsidRPr="00017022" w:rsidRDefault="00F60FAA" w:rsidP="00C01C52">
            <w:pPr>
              <w:spacing w:line="240" w:lineRule="auto"/>
              <w:jc w:val="left"/>
              <w:rPr>
                <w:rFonts w:cs="Arial"/>
                <w:b/>
                <w:bCs/>
                <w:szCs w:val="22"/>
              </w:rPr>
            </w:pPr>
          </w:p>
        </w:tc>
        <w:tc>
          <w:tcPr>
            <w:tcW w:w="1169" w:type="dxa"/>
            <w:tcBorders>
              <w:top w:val="nil"/>
              <w:left w:val="nil"/>
              <w:bottom w:val="nil"/>
              <w:right w:val="nil"/>
            </w:tcBorders>
            <w:shd w:val="clear" w:color="auto" w:fill="auto"/>
            <w:noWrap/>
            <w:vAlign w:val="center"/>
            <w:hideMark/>
          </w:tcPr>
          <w:p w14:paraId="533BD532" w14:textId="77777777" w:rsidR="00C01C52" w:rsidRPr="00017022" w:rsidRDefault="00F60FAA" w:rsidP="00C01C52">
            <w:pPr>
              <w:spacing w:line="240" w:lineRule="auto"/>
              <w:jc w:val="right"/>
              <w:rPr>
                <w:rFonts w:cs="Arial"/>
                <w:sz w:val="20"/>
              </w:rPr>
            </w:pPr>
          </w:p>
        </w:tc>
        <w:tc>
          <w:tcPr>
            <w:tcW w:w="1169" w:type="dxa"/>
            <w:tcBorders>
              <w:top w:val="nil"/>
              <w:left w:val="nil"/>
              <w:bottom w:val="nil"/>
              <w:right w:val="nil"/>
            </w:tcBorders>
            <w:shd w:val="clear" w:color="auto" w:fill="auto"/>
            <w:noWrap/>
            <w:vAlign w:val="center"/>
            <w:hideMark/>
          </w:tcPr>
          <w:p w14:paraId="533BD533" w14:textId="77777777" w:rsidR="00C01C52" w:rsidRPr="00017022" w:rsidRDefault="00F60FAA" w:rsidP="00C01C52">
            <w:pPr>
              <w:spacing w:line="240" w:lineRule="auto"/>
              <w:jc w:val="right"/>
              <w:rPr>
                <w:rFonts w:cs="Arial"/>
                <w:sz w:val="20"/>
              </w:rPr>
            </w:pPr>
          </w:p>
        </w:tc>
        <w:tc>
          <w:tcPr>
            <w:tcW w:w="1170" w:type="dxa"/>
            <w:tcBorders>
              <w:top w:val="nil"/>
              <w:left w:val="nil"/>
              <w:bottom w:val="nil"/>
              <w:right w:val="single" w:sz="4" w:space="0" w:color="auto"/>
            </w:tcBorders>
            <w:shd w:val="clear" w:color="auto" w:fill="auto"/>
            <w:noWrap/>
            <w:vAlign w:val="center"/>
            <w:hideMark/>
          </w:tcPr>
          <w:p w14:paraId="533BD534" w14:textId="77777777" w:rsidR="00C01C52" w:rsidRPr="00017022" w:rsidRDefault="00F60FAA" w:rsidP="00C01C52">
            <w:pPr>
              <w:spacing w:line="240" w:lineRule="auto"/>
              <w:jc w:val="right"/>
              <w:rPr>
                <w:rFonts w:cs="Arial"/>
                <w:sz w:val="20"/>
              </w:rPr>
            </w:pPr>
          </w:p>
        </w:tc>
      </w:tr>
      <w:tr w:rsidR="002B7C48" w14:paraId="533BD53B" w14:textId="77777777" w:rsidTr="00C01C52">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533BD536"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Building Control</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37"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(221)</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38"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(191)</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39"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201</w:t>
            </w:r>
            <w:r w:rsidRPr="00A67602">
              <w:rPr>
                <w:rFonts w:cs="Arial"/>
                <w:color w:val="000000"/>
                <w:szCs w:val="22"/>
              </w:rPr>
              <w:t>)</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533BD53A" w14:textId="77777777" w:rsidR="00C01C52" w:rsidRPr="00A67602" w:rsidRDefault="00F60FAA" w:rsidP="00C01C52">
            <w:pPr>
              <w:spacing w:line="240" w:lineRule="auto"/>
              <w:jc w:val="right"/>
              <w:rPr>
                <w:rFonts w:cs="Arial"/>
                <w:color w:val="000000"/>
                <w:szCs w:val="22"/>
              </w:rPr>
            </w:pPr>
            <w:r>
              <w:rPr>
                <w:rFonts w:cs="Arial"/>
                <w:color w:val="000000"/>
                <w:szCs w:val="22"/>
              </w:rPr>
              <w:t>(10)</w:t>
            </w:r>
            <w:r w:rsidRPr="00A67602">
              <w:rPr>
                <w:rFonts w:cs="Arial"/>
                <w:color w:val="000000"/>
                <w:szCs w:val="22"/>
              </w:rPr>
              <w:t xml:space="preserve"> </w:t>
            </w:r>
          </w:p>
        </w:tc>
      </w:tr>
      <w:tr w:rsidR="002B7C48" w14:paraId="533BD541"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3C"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Planning application fees</w:t>
            </w:r>
          </w:p>
        </w:tc>
        <w:tc>
          <w:tcPr>
            <w:tcW w:w="1169" w:type="dxa"/>
            <w:tcBorders>
              <w:top w:val="nil"/>
              <w:left w:val="nil"/>
              <w:bottom w:val="single" w:sz="4" w:space="0" w:color="BFBFBF"/>
              <w:right w:val="single" w:sz="4" w:space="0" w:color="BFBFBF"/>
            </w:tcBorders>
            <w:shd w:val="clear" w:color="auto" w:fill="auto"/>
            <w:noWrap/>
            <w:vAlign w:val="center"/>
            <w:hideMark/>
          </w:tcPr>
          <w:p w14:paraId="533BD53D"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(456)</w:t>
            </w:r>
          </w:p>
        </w:tc>
        <w:tc>
          <w:tcPr>
            <w:tcW w:w="1169" w:type="dxa"/>
            <w:tcBorders>
              <w:top w:val="nil"/>
              <w:left w:val="nil"/>
              <w:bottom w:val="single" w:sz="4" w:space="0" w:color="BFBFBF"/>
              <w:right w:val="single" w:sz="4" w:space="0" w:color="BFBFBF"/>
            </w:tcBorders>
            <w:shd w:val="clear" w:color="auto" w:fill="auto"/>
            <w:noWrap/>
            <w:vAlign w:val="center"/>
            <w:hideMark/>
          </w:tcPr>
          <w:p w14:paraId="533BD53E" w14:textId="77777777" w:rsidR="00C01C52" w:rsidRPr="00E77A57" w:rsidRDefault="00F60FAA" w:rsidP="00C01C52">
            <w:pPr>
              <w:spacing w:line="240" w:lineRule="auto"/>
              <w:jc w:val="right"/>
              <w:rPr>
                <w:rFonts w:cs="Arial"/>
                <w:color w:val="000000"/>
                <w:szCs w:val="22"/>
              </w:rPr>
            </w:pPr>
            <w:r w:rsidRPr="00E77A57">
              <w:rPr>
                <w:rFonts w:cs="Arial"/>
                <w:color w:val="000000"/>
                <w:szCs w:val="22"/>
              </w:rPr>
              <w:t>(5</w:t>
            </w:r>
            <w:r>
              <w:rPr>
                <w:rFonts w:cs="Arial"/>
                <w:color w:val="000000"/>
                <w:szCs w:val="22"/>
              </w:rPr>
              <w:t>05</w:t>
            </w:r>
            <w:r w:rsidRPr="00E77A57">
              <w:rPr>
                <w:rFonts w:cs="Arial"/>
                <w:color w:val="000000"/>
                <w:szCs w:val="22"/>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533BD53F" w14:textId="77777777" w:rsidR="00C01C52" w:rsidRPr="00E77A57" w:rsidRDefault="00F60FAA" w:rsidP="00C01C52">
            <w:pPr>
              <w:spacing w:line="240" w:lineRule="auto"/>
              <w:jc w:val="right"/>
              <w:rPr>
                <w:rFonts w:cs="Arial"/>
                <w:color w:val="000000"/>
                <w:szCs w:val="22"/>
              </w:rPr>
            </w:pPr>
            <w:r w:rsidRPr="00E77A57">
              <w:rPr>
                <w:rFonts w:cs="Arial"/>
                <w:color w:val="000000"/>
                <w:szCs w:val="22"/>
              </w:rPr>
              <w:t>(5</w:t>
            </w:r>
            <w:r>
              <w:rPr>
                <w:rFonts w:cs="Arial"/>
                <w:color w:val="000000"/>
                <w:szCs w:val="22"/>
              </w:rPr>
              <w:t>05</w:t>
            </w:r>
            <w:r w:rsidRPr="00E77A57">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40"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 xml:space="preserve">-  </w:t>
            </w:r>
          </w:p>
        </w:tc>
      </w:tr>
      <w:tr w:rsidR="002B7C48" w14:paraId="533BD547"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42"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Planning pre-application fees</w:t>
            </w:r>
          </w:p>
        </w:tc>
        <w:tc>
          <w:tcPr>
            <w:tcW w:w="1169" w:type="dxa"/>
            <w:tcBorders>
              <w:top w:val="nil"/>
              <w:left w:val="nil"/>
              <w:bottom w:val="single" w:sz="4" w:space="0" w:color="BFBFBF"/>
              <w:right w:val="single" w:sz="4" w:space="0" w:color="BFBFBF"/>
            </w:tcBorders>
            <w:shd w:val="clear" w:color="auto" w:fill="auto"/>
            <w:noWrap/>
            <w:vAlign w:val="center"/>
            <w:hideMark/>
          </w:tcPr>
          <w:p w14:paraId="533BD543"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(21)</w:t>
            </w:r>
          </w:p>
        </w:tc>
        <w:tc>
          <w:tcPr>
            <w:tcW w:w="1169" w:type="dxa"/>
            <w:tcBorders>
              <w:top w:val="nil"/>
              <w:left w:val="nil"/>
              <w:bottom w:val="single" w:sz="4" w:space="0" w:color="BFBFBF"/>
              <w:right w:val="single" w:sz="4" w:space="0" w:color="BFBFBF"/>
            </w:tcBorders>
            <w:shd w:val="clear" w:color="auto" w:fill="auto"/>
            <w:noWrap/>
            <w:vAlign w:val="center"/>
            <w:hideMark/>
          </w:tcPr>
          <w:p w14:paraId="533BD544"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(72)</w:t>
            </w:r>
          </w:p>
        </w:tc>
        <w:tc>
          <w:tcPr>
            <w:tcW w:w="1169" w:type="dxa"/>
            <w:tcBorders>
              <w:top w:val="nil"/>
              <w:left w:val="nil"/>
              <w:bottom w:val="single" w:sz="4" w:space="0" w:color="BFBFBF"/>
              <w:right w:val="single" w:sz="4" w:space="0" w:color="BFBFBF"/>
            </w:tcBorders>
            <w:shd w:val="clear" w:color="auto" w:fill="auto"/>
            <w:noWrap/>
            <w:vAlign w:val="center"/>
            <w:hideMark/>
          </w:tcPr>
          <w:p w14:paraId="533BD545"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w:t>
            </w:r>
            <w:r>
              <w:rPr>
                <w:rFonts w:cs="Arial"/>
                <w:color w:val="000000"/>
                <w:szCs w:val="22"/>
              </w:rPr>
              <w:t>40</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46" w14:textId="77777777" w:rsidR="00C01C52" w:rsidRPr="00A67602" w:rsidRDefault="00F60FAA" w:rsidP="00C01C52">
            <w:pPr>
              <w:spacing w:line="240" w:lineRule="auto"/>
              <w:jc w:val="right"/>
              <w:rPr>
                <w:rFonts w:cs="Arial"/>
                <w:color w:val="000000"/>
                <w:szCs w:val="22"/>
              </w:rPr>
            </w:pPr>
            <w:r>
              <w:rPr>
                <w:rFonts w:cs="Arial"/>
                <w:color w:val="000000"/>
                <w:szCs w:val="22"/>
              </w:rPr>
              <w:t>32</w:t>
            </w:r>
            <w:r w:rsidRPr="00A67602">
              <w:rPr>
                <w:rFonts w:cs="Arial"/>
                <w:color w:val="000000"/>
                <w:szCs w:val="22"/>
              </w:rPr>
              <w:t xml:space="preserve">  </w:t>
            </w:r>
          </w:p>
        </w:tc>
      </w:tr>
      <w:tr w:rsidR="002B7C48" w14:paraId="533BD54D"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48" w14:textId="77777777" w:rsidR="00C01C52" w:rsidRPr="00A67602" w:rsidRDefault="00F60FAA" w:rsidP="00C01C52">
            <w:pPr>
              <w:spacing w:line="240" w:lineRule="auto"/>
              <w:jc w:val="left"/>
              <w:rPr>
                <w:rFonts w:cs="Arial"/>
                <w:color w:val="000000"/>
                <w:szCs w:val="22"/>
              </w:rPr>
            </w:pPr>
            <w:r w:rsidRPr="00A67602">
              <w:rPr>
                <w:rFonts w:cs="Arial"/>
                <w:color w:val="000000"/>
                <w:szCs w:val="22"/>
              </w:rPr>
              <w:t>Investment property rental</w:t>
            </w:r>
          </w:p>
        </w:tc>
        <w:tc>
          <w:tcPr>
            <w:tcW w:w="1169" w:type="dxa"/>
            <w:tcBorders>
              <w:top w:val="nil"/>
              <w:left w:val="nil"/>
              <w:bottom w:val="single" w:sz="4" w:space="0" w:color="BFBFBF"/>
              <w:right w:val="single" w:sz="4" w:space="0" w:color="BFBFBF"/>
            </w:tcBorders>
            <w:shd w:val="clear" w:color="auto" w:fill="auto"/>
            <w:noWrap/>
            <w:vAlign w:val="center"/>
            <w:hideMark/>
          </w:tcPr>
          <w:p w14:paraId="533BD549"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(1,076)</w:t>
            </w:r>
          </w:p>
        </w:tc>
        <w:tc>
          <w:tcPr>
            <w:tcW w:w="1169" w:type="dxa"/>
            <w:tcBorders>
              <w:top w:val="nil"/>
              <w:left w:val="nil"/>
              <w:bottom w:val="single" w:sz="4" w:space="0" w:color="BFBFBF"/>
              <w:right w:val="single" w:sz="4" w:space="0" w:color="BFBFBF"/>
            </w:tcBorders>
            <w:shd w:val="clear" w:color="auto" w:fill="auto"/>
            <w:noWrap/>
            <w:vAlign w:val="center"/>
            <w:hideMark/>
          </w:tcPr>
          <w:p w14:paraId="533BD54A"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(1,095)</w:t>
            </w:r>
          </w:p>
        </w:tc>
        <w:tc>
          <w:tcPr>
            <w:tcW w:w="1169" w:type="dxa"/>
            <w:tcBorders>
              <w:top w:val="nil"/>
              <w:left w:val="nil"/>
              <w:bottom w:val="single" w:sz="4" w:space="0" w:color="BFBFBF"/>
              <w:right w:val="single" w:sz="4" w:space="0" w:color="BFBFBF"/>
            </w:tcBorders>
            <w:shd w:val="clear" w:color="auto" w:fill="auto"/>
            <w:noWrap/>
            <w:vAlign w:val="center"/>
            <w:hideMark/>
          </w:tcPr>
          <w:p w14:paraId="533BD54B" w14:textId="77777777" w:rsidR="00C01C52" w:rsidRPr="00A67602" w:rsidRDefault="00F60FAA" w:rsidP="00C01C52">
            <w:pPr>
              <w:spacing w:line="240" w:lineRule="auto"/>
              <w:jc w:val="right"/>
              <w:rPr>
                <w:rFonts w:cs="Arial"/>
                <w:color w:val="000000"/>
                <w:szCs w:val="22"/>
              </w:rPr>
            </w:pPr>
            <w:r w:rsidRPr="00A67602">
              <w:rPr>
                <w:rFonts w:cs="Arial"/>
                <w:color w:val="000000"/>
                <w:szCs w:val="22"/>
              </w:rPr>
              <w:t>(1,0</w:t>
            </w:r>
            <w:r>
              <w:rPr>
                <w:rFonts w:cs="Arial"/>
                <w:color w:val="000000"/>
                <w:szCs w:val="22"/>
              </w:rPr>
              <w:t>69</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4C" w14:textId="77777777" w:rsidR="00C01C52" w:rsidRPr="00A67602" w:rsidRDefault="00F60FAA" w:rsidP="00C01C52">
            <w:pPr>
              <w:spacing w:line="240" w:lineRule="auto"/>
              <w:jc w:val="right"/>
              <w:rPr>
                <w:rFonts w:cs="Arial"/>
                <w:color w:val="000000"/>
                <w:szCs w:val="22"/>
              </w:rPr>
            </w:pPr>
            <w:r>
              <w:rPr>
                <w:rFonts w:cs="Arial"/>
                <w:color w:val="000000"/>
                <w:szCs w:val="22"/>
              </w:rPr>
              <w:t>26</w:t>
            </w:r>
          </w:p>
        </w:tc>
      </w:tr>
      <w:tr w:rsidR="002B7C48" w14:paraId="533BD553" w14:textId="77777777" w:rsidTr="00C01C52">
        <w:trPr>
          <w:trHeight w:val="284"/>
        </w:trPr>
        <w:tc>
          <w:tcPr>
            <w:tcW w:w="4536" w:type="dxa"/>
            <w:tcBorders>
              <w:top w:val="nil"/>
              <w:left w:val="single" w:sz="4" w:space="0" w:color="auto"/>
              <w:bottom w:val="nil"/>
              <w:right w:val="nil"/>
            </w:tcBorders>
            <w:shd w:val="clear" w:color="auto" w:fill="auto"/>
            <w:noWrap/>
            <w:vAlign w:val="center"/>
            <w:hideMark/>
          </w:tcPr>
          <w:p w14:paraId="533BD54E" w14:textId="77777777" w:rsidR="00C01C52" w:rsidRPr="00017022" w:rsidRDefault="00F60FAA" w:rsidP="00C01C52">
            <w:pPr>
              <w:spacing w:before="120" w:line="240" w:lineRule="auto"/>
              <w:jc w:val="left"/>
              <w:rPr>
                <w:rFonts w:cs="Arial"/>
                <w:b/>
                <w:bCs/>
                <w:szCs w:val="22"/>
              </w:rPr>
            </w:pPr>
            <w:r w:rsidRPr="00017022">
              <w:rPr>
                <w:rFonts w:cs="Arial"/>
                <w:b/>
                <w:bCs/>
                <w:szCs w:val="22"/>
              </w:rPr>
              <w:t>Legal HR &amp; Democratic Services</w:t>
            </w:r>
          </w:p>
        </w:tc>
        <w:tc>
          <w:tcPr>
            <w:tcW w:w="1169" w:type="dxa"/>
            <w:tcBorders>
              <w:top w:val="nil"/>
              <w:left w:val="nil"/>
              <w:bottom w:val="nil"/>
              <w:right w:val="nil"/>
            </w:tcBorders>
            <w:shd w:val="clear" w:color="auto" w:fill="auto"/>
            <w:noWrap/>
            <w:vAlign w:val="center"/>
            <w:hideMark/>
          </w:tcPr>
          <w:p w14:paraId="533BD54F" w14:textId="77777777" w:rsidR="00C01C52" w:rsidRPr="00017022" w:rsidRDefault="00F60FAA" w:rsidP="00C01C52">
            <w:pPr>
              <w:spacing w:line="240" w:lineRule="auto"/>
              <w:jc w:val="left"/>
              <w:rPr>
                <w:rFonts w:cs="Arial"/>
                <w:b/>
                <w:bCs/>
                <w:szCs w:val="22"/>
              </w:rPr>
            </w:pPr>
          </w:p>
        </w:tc>
        <w:tc>
          <w:tcPr>
            <w:tcW w:w="1169" w:type="dxa"/>
            <w:tcBorders>
              <w:top w:val="nil"/>
              <w:left w:val="nil"/>
              <w:bottom w:val="nil"/>
              <w:right w:val="nil"/>
            </w:tcBorders>
            <w:shd w:val="clear" w:color="auto" w:fill="auto"/>
            <w:noWrap/>
            <w:vAlign w:val="center"/>
            <w:hideMark/>
          </w:tcPr>
          <w:p w14:paraId="533BD550" w14:textId="77777777" w:rsidR="00C01C52" w:rsidRPr="00017022" w:rsidRDefault="00F60FAA" w:rsidP="00C01C52">
            <w:pPr>
              <w:spacing w:line="240" w:lineRule="auto"/>
              <w:jc w:val="right"/>
              <w:rPr>
                <w:rFonts w:cs="Arial"/>
                <w:sz w:val="20"/>
              </w:rPr>
            </w:pPr>
          </w:p>
        </w:tc>
        <w:tc>
          <w:tcPr>
            <w:tcW w:w="1169" w:type="dxa"/>
            <w:tcBorders>
              <w:top w:val="nil"/>
              <w:left w:val="nil"/>
              <w:bottom w:val="nil"/>
              <w:right w:val="nil"/>
            </w:tcBorders>
            <w:shd w:val="clear" w:color="auto" w:fill="auto"/>
            <w:noWrap/>
            <w:vAlign w:val="center"/>
            <w:hideMark/>
          </w:tcPr>
          <w:p w14:paraId="533BD551" w14:textId="77777777" w:rsidR="00C01C52" w:rsidRPr="00017022" w:rsidRDefault="00F60FAA" w:rsidP="00C01C52">
            <w:pPr>
              <w:spacing w:line="240" w:lineRule="auto"/>
              <w:jc w:val="right"/>
              <w:rPr>
                <w:rFonts w:cs="Arial"/>
                <w:sz w:val="20"/>
              </w:rPr>
            </w:pPr>
          </w:p>
        </w:tc>
        <w:tc>
          <w:tcPr>
            <w:tcW w:w="1170" w:type="dxa"/>
            <w:tcBorders>
              <w:top w:val="nil"/>
              <w:left w:val="nil"/>
              <w:bottom w:val="nil"/>
              <w:right w:val="single" w:sz="4" w:space="0" w:color="auto"/>
            </w:tcBorders>
            <w:shd w:val="clear" w:color="auto" w:fill="auto"/>
            <w:noWrap/>
            <w:vAlign w:val="center"/>
            <w:hideMark/>
          </w:tcPr>
          <w:p w14:paraId="533BD552" w14:textId="77777777" w:rsidR="00C01C52" w:rsidRPr="00017022" w:rsidRDefault="00F60FAA" w:rsidP="00C01C52">
            <w:pPr>
              <w:spacing w:line="240" w:lineRule="auto"/>
              <w:jc w:val="right"/>
              <w:rPr>
                <w:rFonts w:cs="Arial"/>
                <w:sz w:val="20"/>
              </w:rPr>
            </w:pPr>
          </w:p>
        </w:tc>
      </w:tr>
      <w:tr w:rsidR="002B7C48" w14:paraId="533BD559" w14:textId="77777777" w:rsidTr="00C01C52">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533BD554" w14:textId="77777777" w:rsidR="00C01C52" w:rsidRPr="00017022" w:rsidRDefault="00F60FAA" w:rsidP="00C01C52">
            <w:pPr>
              <w:spacing w:line="240" w:lineRule="auto"/>
              <w:jc w:val="left"/>
              <w:rPr>
                <w:rFonts w:cs="Arial"/>
                <w:szCs w:val="22"/>
              </w:rPr>
            </w:pPr>
            <w:r w:rsidRPr="00017022">
              <w:rPr>
                <w:rFonts w:cs="Arial"/>
                <w:szCs w:val="22"/>
              </w:rPr>
              <w:t>Land Charges</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55" w14:textId="77777777" w:rsidR="00C01C52" w:rsidRPr="00017022" w:rsidRDefault="00F60FAA" w:rsidP="00C01C52">
            <w:pPr>
              <w:spacing w:line="240" w:lineRule="auto"/>
              <w:jc w:val="right"/>
              <w:rPr>
                <w:rFonts w:cs="Arial"/>
                <w:szCs w:val="22"/>
              </w:rPr>
            </w:pPr>
            <w:r w:rsidRPr="00017022">
              <w:rPr>
                <w:rFonts w:cs="Arial"/>
                <w:szCs w:val="22"/>
              </w:rPr>
              <w:t>(95)</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56" w14:textId="77777777" w:rsidR="00C01C52" w:rsidRPr="00017022" w:rsidRDefault="00F60FAA" w:rsidP="00C01C52">
            <w:pPr>
              <w:spacing w:line="240" w:lineRule="auto"/>
              <w:jc w:val="right"/>
              <w:rPr>
                <w:rFonts w:cs="Arial"/>
                <w:szCs w:val="22"/>
              </w:rPr>
            </w:pPr>
            <w:r w:rsidRPr="00017022">
              <w:rPr>
                <w:rFonts w:cs="Arial"/>
                <w:szCs w:val="22"/>
              </w:rPr>
              <w:t>(100)</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57" w14:textId="77777777" w:rsidR="00C01C52" w:rsidRPr="00017022" w:rsidRDefault="00F60FAA" w:rsidP="00C01C52">
            <w:pPr>
              <w:spacing w:line="240" w:lineRule="auto"/>
              <w:jc w:val="right"/>
              <w:rPr>
                <w:rFonts w:cs="Arial"/>
                <w:szCs w:val="22"/>
              </w:rPr>
            </w:pPr>
            <w:r w:rsidRPr="00017022">
              <w:rPr>
                <w:rFonts w:cs="Arial"/>
                <w:szCs w:val="22"/>
              </w:rPr>
              <w:t>(</w:t>
            </w:r>
            <w:r>
              <w:rPr>
                <w:rFonts w:cs="Arial"/>
                <w:szCs w:val="22"/>
              </w:rPr>
              <w:t>8</w:t>
            </w:r>
            <w:r w:rsidRPr="00017022">
              <w:rPr>
                <w:rFonts w:cs="Arial"/>
                <w:szCs w:val="22"/>
              </w:rPr>
              <w:t>0)</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533BD558" w14:textId="77777777" w:rsidR="00C01C52" w:rsidRPr="00017022" w:rsidRDefault="00F60FAA" w:rsidP="00C01C52">
            <w:pPr>
              <w:spacing w:line="240" w:lineRule="auto"/>
              <w:jc w:val="right"/>
              <w:rPr>
                <w:rFonts w:cs="Arial"/>
                <w:szCs w:val="22"/>
              </w:rPr>
            </w:pPr>
            <w:r>
              <w:rPr>
                <w:rFonts w:cs="Arial"/>
                <w:szCs w:val="22"/>
              </w:rPr>
              <w:t>2</w:t>
            </w:r>
            <w:r w:rsidRPr="00017022">
              <w:rPr>
                <w:rFonts w:cs="Arial"/>
                <w:szCs w:val="22"/>
              </w:rPr>
              <w:t xml:space="preserve">0 </w:t>
            </w:r>
          </w:p>
        </w:tc>
      </w:tr>
      <w:tr w:rsidR="002B7C48" w14:paraId="533BD55F"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5A" w14:textId="77777777" w:rsidR="00C01C52" w:rsidRPr="00017022" w:rsidRDefault="00F60FAA" w:rsidP="00C01C52">
            <w:pPr>
              <w:spacing w:line="240" w:lineRule="auto"/>
              <w:jc w:val="left"/>
              <w:rPr>
                <w:rFonts w:cs="Arial"/>
                <w:szCs w:val="22"/>
              </w:rPr>
            </w:pPr>
            <w:r w:rsidRPr="00017022">
              <w:rPr>
                <w:rFonts w:cs="Arial"/>
                <w:szCs w:val="22"/>
              </w:rPr>
              <w:t>Legal fees recovered</w:t>
            </w:r>
          </w:p>
        </w:tc>
        <w:tc>
          <w:tcPr>
            <w:tcW w:w="1169" w:type="dxa"/>
            <w:tcBorders>
              <w:top w:val="nil"/>
              <w:left w:val="nil"/>
              <w:bottom w:val="single" w:sz="4" w:space="0" w:color="BFBFBF"/>
              <w:right w:val="single" w:sz="4" w:space="0" w:color="BFBFBF"/>
            </w:tcBorders>
            <w:shd w:val="clear" w:color="auto" w:fill="auto"/>
            <w:noWrap/>
            <w:vAlign w:val="center"/>
            <w:hideMark/>
          </w:tcPr>
          <w:p w14:paraId="533BD55B" w14:textId="77777777" w:rsidR="00C01C52" w:rsidRPr="00017022" w:rsidRDefault="00F60FAA" w:rsidP="00C01C52">
            <w:pPr>
              <w:spacing w:line="240" w:lineRule="auto"/>
              <w:jc w:val="right"/>
              <w:rPr>
                <w:rFonts w:cs="Arial"/>
                <w:szCs w:val="22"/>
              </w:rPr>
            </w:pPr>
            <w:r w:rsidRPr="00017022">
              <w:rPr>
                <w:rFonts w:cs="Arial"/>
                <w:szCs w:val="22"/>
              </w:rPr>
              <w:t>(13)</w:t>
            </w:r>
          </w:p>
        </w:tc>
        <w:tc>
          <w:tcPr>
            <w:tcW w:w="1169" w:type="dxa"/>
            <w:tcBorders>
              <w:top w:val="nil"/>
              <w:left w:val="nil"/>
              <w:bottom w:val="single" w:sz="4" w:space="0" w:color="BFBFBF"/>
              <w:right w:val="single" w:sz="4" w:space="0" w:color="BFBFBF"/>
            </w:tcBorders>
            <w:shd w:val="clear" w:color="auto" w:fill="auto"/>
            <w:noWrap/>
            <w:vAlign w:val="center"/>
            <w:hideMark/>
          </w:tcPr>
          <w:p w14:paraId="533BD55C" w14:textId="77777777" w:rsidR="00C01C52" w:rsidRPr="00017022" w:rsidRDefault="00F60FAA" w:rsidP="00C01C52">
            <w:pPr>
              <w:spacing w:line="240" w:lineRule="auto"/>
              <w:jc w:val="right"/>
              <w:rPr>
                <w:rFonts w:cs="Arial"/>
                <w:szCs w:val="22"/>
              </w:rPr>
            </w:pPr>
            <w:r w:rsidRPr="00017022">
              <w:rPr>
                <w:rFonts w:cs="Arial"/>
                <w:szCs w:val="22"/>
              </w:rPr>
              <w:t>(15)</w:t>
            </w:r>
          </w:p>
        </w:tc>
        <w:tc>
          <w:tcPr>
            <w:tcW w:w="1169" w:type="dxa"/>
            <w:tcBorders>
              <w:top w:val="nil"/>
              <w:left w:val="nil"/>
              <w:bottom w:val="single" w:sz="4" w:space="0" w:color="BFBFBF"/>
              <w:right w:val="single" w:sz="4" w:space="0" w:color="BFBFBF"/>
            </w:tcBorders>
            <w:shd w:val="clear" w:color="auto" w:fill="auto"/>
            <w:noWrap/>
            <w:vAlign w:val="center"/>
            <w:hideMark/>
          </w:tcPr>
          <w:p w14:paraId="533BD55D" w14:textId="77777777" w:rsidR="00C01C52" w:rsidRPr="00017022" w:rsidRDefault="00F60FAA" w:rsidP="00C01C52">
            <w:pPr>
              <w:spacing w:line="240" w:lineRule="auto"/>
              <w:jc w:val="right"/>
              <w:rPr>
                <w:rFonts w:cs="Arial"/>
                <w:szCs w:val="22"/>
              </w:rPr>
            </w:pPr>
            <w:r w:rsidRPr="00017022">
              <w:rPr>
                <w:rFonts w:cs="Arial"/>
                <w:szCs w:val="22"/>
              </w:rPr>
              <w:t>(1</w:t>
            </w:r>
            <w:r>
              <w:rPr>
                <w:rFonts w:cs="Arial"/>
                <w:szCs w:val="22"/>
              </w:rPr>
              <w:t>5</w:t>
            </w:r>
            <w:r w:rsidRPr="00017022">
              <w:rPr>
                <w:rFonts w:cs="Arial"/>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5E" w14:textId="77777777" w:rsidR="00C01C52" w:rsidRPr="00017022" w:rsidRDefault="00F60FAA" w:rsidP="00C01C52">
            <w:pPr>
              <w:spacing w:line="240" w:lineRule="auto"/>
              <w:jc w:val="right"/>
              <w:rPr>
                <w:rFonts w:cs="Arial"/>
                <w:szCs w:val="22"/>
              </w:rPr>
            </w:pPr>
            <w:r>
              <w:rPr>
                <w:rFonts w:cs="Arial"/>
                <w:szCs w:val="22"/>
              </w:rPr>
              <w:t>-</w:t>
            </w:r>
            <w:r w:rsidRPr="00017022">
              <w:rPr>
                <w:rFonts w:cs="Arial"/>
                <w:szCs w:val="22"/>
              </w:rPr>
              <w:t xml:space="preserve">  </w:t>
            </w:r>
          </w:p>
        </w:tc>
      </w:tr>
      <w:tr w:rsidR="002B7C48" w14:paraId="533BD565"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60" w14:textId="77777777" w:rsidR="00C01C52" w:rsidRPr="00017022" w:rsidRDefault="00F60FAA" w:rsidP="00C01C52">
            <w:pPr>
              <w:spacing w:line="240" w:lineRule="auto"/>
              <w:jc w:val="left"/>
              <w:rPr>
                <w:rFonts w:cs="Arial"/>
                <w:szCs w:val="22"/>
              </w:rPr>
            </w:pPr>
            <w:r w:rsidRPr="00017022">
              <w:rPr>
                <w:rFonts w:cs="Arial"/>
                <w:szCs w:val="22"/>
              </w:rPr>
              <w:t>Licensing - Alcohol</w:t>
            </w:r>
          </w:p>
        </w:tc>
        <w:tc>
          <w:tcPr>
            <w:tcW w:w="1169" w:type="dxa"/>
            <w:tcBorders>
              <w:top w:val="nil"/>
              <w:left w:val="nil"/>
              <w:bottom w:val="single" w:sz="4" w:space="0" w:color="BFBFBF"/>
              <w:right w:val="single" w:sz="4" w:space="0" w:color="BFBFBF"/>
            </w:tcBorders>
            <w:shd w:val="clear" w:color="auto" w:fill="auto"/>
            <w:noWrap/>
            <w:vAlign w:val="center"/>
            <w:hideMark/>
          </w:tcPr>
          <w:p w14:paraId="533BD561" w14:textId="77777777" w:rsidR="00C01C52" w:rsidRPr="00017022" w:rsidRDefault="00F60FAA" w:rsidP="00C01C52">
            <w:pPr>
              <w:spacing w:line="240" w:lineRule="auto"/>
              <w:jc w:val="right"/>
              <w:rPr>
                <w:rFonts w:cs="Arial"/>
                <w:szCs w:val="22"/>
              </w:rPr>
            </w:pPr>
            <w:r w:rsidRPr="00017022">
              <w:rPr>
                <w:rFonts w:cs="Arial"/>
                <w:szCs w:val="22"/>
              </w:rPr>
              <w:t>(72)</w:t>
            </w:r>
          </w:p>
        </w:tc>
        <w:tc>
          <w:tcPr>
            <w:tcW w:w="1169" w:type="dxa"/>
            <w:tcBorders>
              <w:top w:val="nil"/>
              <w:left w:val="nil"/>
              <w:bottom w:val="single" w:sz="4" w:space="0" w:color="BFBFBF"/>
              <w:right w:val="single" w:sz="4" w:space="0" w:color="BFBFBF"/>
            </w:tcBorders>
            <w:shd w:val="clear" w:color="auto" w:fill="auto"/>
            <w:noWrap/>
            <w:vAlign w:val="center"/>
            <w:hideMark/>
          </w:tcPr>
          <w:p w14:paraId="533BD562" w14:textId="77777777" w:rsidR="00C01C52" w:rsidRPr="00017022" w:rsidRDefault="00F60FAA" w:rsidP="00C01C52">
            <w:pPr>
              <w:spacing w:line="240" w:lineRule="auto"/>
              <w:jc w:val="right"/>
              <w:rPr>
                <w:rFonts w:cs="Arial"/>
                <w:szCs w:val="22"/>
              </w:rPr>
            </w:pPr>
            <w:r w:rsidRPr="00017022">
              <w:rPr>
                <w:rFonts w:cs="Arial"/>
                <w:szCs w:val="22"/>
              </w:rPr>
              <w:t>(76)</w:t>
            </w:r>
          </w:p>
        </w:tc>
        <w:tc>
          <w:tcPr>
            <w:tcW w:w="1169" w:type="dxa"/>
            <w:tcBorders>
              <w:top w:val="nil"/>
              <w:left w:val="nil"/>
              <w:bottom w:val="single" w:sz="4" w:space="0" w:color="BFBFBF"/>
              <w:right w:val="single" w:sz="4" w:space="0" w:color="BFBFBF"/>
            </w:tcBorders>
            <w:shd w:val="clear" w:color="auto" w:fill="auto"/>
            <w:noWrap/>
            <w:vAlign w:val="center"/>
            <w:hideMark/>
          </w:tcPr>
          <w:p w14:paraId="533BD563" w14:textId="77777777" w:rsidR="00C01C52" w:rsidRPr="00017022" w:rsidRDefault="00F60FAA" w:rsidP="00C01C52">
            <w:pPr>
              <w:spacing w:line="240" w:lineRule="auto"/>
              <w:jc w:val="right"/>
              <w:rPr>
                <w:rFonts w:cs="Arial"/>
                <w:szCs w:val="22"/>
              </w:rPr>
            </w:pPr>
            <w:r w:rsidRPr="00017022">
              <w:rPr>
                <w:rFonts w:cs="Arial"/>
                <w:szCs w:val="22"/>
              </w:rPr>
              <w:t>(</w:t>
            </w:r>
            <w:r>
              <w:rPr>
                <w:rFonts w:cs="Arial"/>
                <w:szCs w:val="22"/>
              </w:rPr>
              <w:t>74</w:t>
            </w:r>
            <w:r w:rsidRPr="00017022">
              <w:rPr>
                <w:rFonts w:cs="Arial"/>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64" w14:textId="77777777" w:rsidR="00C01C52" w:rsidRPr="00017022" w:rsidRDefault="00F60FAA" w:rsidP="00C01C52">
            <w:pPr>
              <w:spacing w:line="240" w:lineRule="auto"/>
              <w:jc w:val="right"/>
              <w:rPr>
                <w:rFonts w:cs="Arial"/>
                <w:szCs w:val="22"/>
              </w:rPr>
            </w:pPr>
            <w:r>
              <w:rPr>
                <w:rFonts w:cs="Arial"/>
                <w:szCs w:val="22"/>
              </w:rPr>
              <w:t>2</w:t>
            </w:r>
            <w:r w:rsidRPr="00017022">
              <w:rPr>
                <w:rFonts w:cs="Arial"/>
                <w:szCs w:val="22"/>
              </w:rPr>
              <w:t xml:space="preserve"> </w:t>
            </w:r>
          </w:p>
        </w:tc>
      </w:tr>
      <w:tr w:rsidR="002B7C48" w14:paraId="533BD56B"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66" w14:textId="77777777" w:rsidR="00C01C52" w:rsidRPr="00017022" w:rsidRDefault="00F60FAA" w:rsidP="00C01C52">
            <w:pPr>
              <w:spacing w:line="240" w:lineRule="auto"/>
              <w:jc w:val="left"/>
              <w:rPr>
                <w:rFonts w:cs="Arial"/>
                <w:szCs w:val="22"/>
              </w:rPr>
            </w:pPr>
            <w:r w:rsidRPr="00017022">
              <w:rPr>
                <w:rFonts w:cs="Arial"/>
                <w:szCs w:val="22"/>
              </w:rPr>
              <w:t>Licensing - Gambling</w:t>
            </w:r>
          </w:p>
        </w:tc>
        <w:tc>
          <w:tcPr>
            <w:tcW w:w="1169" w:type="dxa"/>
            <w:tcBorders>
              <w:top w:val="nil"/>
              <w:left w:val="nil"/>
              <w:bottom w:val="single" w:sz="4" w:space="0" w:color="BFBFBF"/>
              <w:right w:val="single" w:sz="4" w:space="0" w:color="BFBFBF"/>
            </w:tcBorders>
            <w:shd w:val="clear" w:color="auto" w:fill="auto"/>
            <w:noWrap/>
            <w:vAlign w:val="center"/>
            <w:hideMark/>
          </w:tcPr>
          <w:p w14:paraId="533BD567" w14:textId="77777777" w:rsidR="00C01C52" w:rsidRPr="00017022" w:rsidRDefault="00F60FAA" w:rsidP="00C01C52">
            <w:pPr>
              <w:spacing w:line="240" w:lineRule="auto"/>
              <w:jc w:val="right"/>
              <w:rPr>
                <w:rFonts w:cs="Arial"/>
                <w:szCs w:val="22"/>
              </w:rPr>
            </w:pPr>
            <w:r w:rsidRPr="00017022">
              <w:rPr>
                <w:rFonts w:cs="Arial"/>
                <w:szCs w:val="22"/>
              </w:rPr>
              <w:t>(13)</w:t>
            </w:r>
          </w:p>
        </w:tc>
        <w:tc>
          <w:tcPr>
            <w:tcW w:w="1169" w:type="dxa"/>
            <w:tcBorders>
              <w:top w:val="nil"/>
              <w:left w:val="nil"/>
              <w:bottom w:val="single" w:sz="4" w:space="0" w:color="BFBFBF"/>
              <w:right w:val="single" w:sz="4" w:space="0" w:color="BFBFBF"/>
            </w:tcBorders>
            <w:shd w:val="clear" w:color="auto" w:fill="auto"/>
            <w:noWrap/>
            <w:vAlign w:val="center"/>
            <w:hideMark/>
          </w:tcPr>
          <w:p w14:paraId="533BD568" w14:textId="77777777" w:rsidR="00C01C52" w:rsidRPr="00017022" w:rsidRDefault="00F60FAA" w:rsidP="00C01C52">
            <w:pPr>
              <w:spacing w:line="240" w:lineRule="auto"/>
              <w:jc w:val="right"/>
              <w:rPr>
                <w:rFonts w:cs="Arial"/>
                <w:szCs w:val="22"/>
              </w:rPr>
            </w:pPr>
            <w:r w:rsidRPr="00017022">
              <w:rPr>
                <w:rFonts w:cs="Arial"/>
                <w:szCs w:val="22"/>
              </w:rPr>
              <w:t>(12)</w:t>
            </w:r>
          </w:p>
        </w:tc>
        <w:tc>
          <w:tcPr>
            <w:tcW w:w="1169" w:type="dxa"/>
            <w:tcBorders>
              <w:top w:val="nil"/>
              <w:left w:val="nil"/>
              <w:bottom w:val="single" w:sz="4" w:space="0" w:color="BFBFBF"/>
              <w:right w:val="single" w:sz="4" w:space="0" w:color="BFBFBF"/>
            </w:tcBorders>
            <w:shd w:val="clear" w:color="auto" w:fill="auto"/>
            <w:noWrap/>
            <w:vAlign w:val="center"/>
            <w:hideMark/>
          </w:tcPr>
          <w:p w14:paraId="533BD569" w14:textId="77777777" w:rsidR="00C01C52" w:rsidRPr="00017022" w:rsidRDefault="00F60FAA" w:rsidP="00C01C52">
            <w:pPr>
              <w:spacing w:line="240" w:lineRule="auto"/>
              <w:jc w:val="right"/>
              <w:rPr>
                <w:rFonts w:cs="Arial"/>
                <w:szCs w:val="22"/>
              </w:rPr>
            </w:pPr>
            <w:r w:rsidRPr="00017022">
              <w:rPr>
                <w:rFonts w:cs="Arial"/>
                <w:szCs w:val="22"/>
              </w:rPr>
              <w:t>(12)</w:t>
            </w:r>
          </w:p>
        </w:tc>
        <w:tc>
          <w:tcPr>
            <w:tcW w:w="1170" w:type="dxa"/>
            <w:tcBorders>
              <w:top w:val="nil"/>
              <w:left w:val="nil"/>
              <w:bottom w:val="single" w:sz="4" w:space="0" w:color="BFBFBF"/>
              <w:right w:val="single" w:sz="4" w:space="0" w:color="auto"/>
            </w:tcBorders>
            <w:shd w:val="clear" w:color="auto" w:fill="auto"/>
            <w:noWrap/>
            <w:vAlign w:val="center"/>
            <w:hideMark/>
          </w:tcPr>
          <w:p w14:paraId="533BD56A" w14:textId="77777777" w:rsidR="00C01C52" w:rsidRPr="00017022" w:rsidRDefault="00F60FAA" w:rsidP="00C01C52">
            <w:pPr>
              <w:spacing w:line="240" w:lineRule="auto"/>
              <w:jc w:val="right"/>
              <w:rPr>
                <w:rFonts w:cs="Arial"/>
                <w:szCs w:val="22"/>
              </w:rPr>
            </w:pPr>
            <w:r w:rsidRPr="00017022">
              <w:rPr>
                <w:rFonts w:cs="Arial"/>
                <w:szCs w:val="22"/>
              </w:rPr>
              <w:t xml:space="preserve">-  </w:t>
            </w:r>
          </w:p>
        </w:tc>
      </w:tr>
      <w:tr w:rsidR="002B7C48" w14:paraId="533BD571" w14:textId="77777777" w:rsidTr="00C01C52">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533BD56C" w14:textId="77777777" w:rsidR="00C01C52" w:rsidRPr="00017022" w:rsidRDefault="00F60FAA" w:rsidP="00C01C52">
            <w:pPr>
              <w:spacing w:line="240" w:lineRule="auto"/>
              <w:jc w:val="left"/>
              <w:rPr>
                <w:rFonts w:cs="Arial"/>
                <w:szCs w:val="22"/>
              </w:rPr>
            </w:pPr>
            <w:r w:rsidRPr="00017022">
              <w:rPr>
                <w:rFonts w:cs="Arial"/>
                <w:szCs w:val="22"/>
              </w:rPr>
              <w:t>Licensing - Taxis</w:t>
            </w:r>
          </w:p>
        </w:tc>
        <w:tc>
          <w:tcPr>
            <w:tcW w:w="1169" w:type="dxa"/>
            <w:tcBorders>
              <w:top w:val="nil"/>
              <w:left w:val="nil"/>
              <w:bottom w:val="single" w:sz="4" w:space="0" w:color="BFBFBF"/>
              <w:right w:val="single" w:sz="4" w:space="0" w:color="BFBFBF"/>
            </w:tcBorders>
            <w:shd w:val="clear" w:color="auto" w:fill="auto"/>
            <w:noWrap/>
            <w:vAlign w:val="center"/>
            <w:hideMark/>
          </w:tcPr>
          <w:p w14:paraId="533BD56D" w14:textId="77777777" w:rsidR="00C01C52" w:rsidRPr="00017022" w:rsidRDefault="00F60FAA" w:rsidP="00C01C52">
            <w:pPr>
              <w:spacing w:line="240" w:lineRule="auto"/>
              <w:jc w:val="right"/>
              <w:rPr>
                <w:rFonts w:cs="Arial"/>
                <w:szCs w:val="22"/>
              </w:rPr>
            </w:pPr>
            <w:r w:rsidRPr="00017022">
              <w:rPr>
                <w:rFonts w:cs="Arial"/>
                <w:szCs w:val="22"/>
              </w:rPr>
              <w:t>(81)</w:t>
            </w:r>
          </w:p>
        </w:tc>
        <w:tc>
          <w:tcPr>
            <w:tcW w:w="1169" w:type="dxa"/>
            <w:tcBorders>
              <w:top w:val="nil"/>
              <w:left w:val="nil"/>
              <w:bottom w:val="single" w:sz="4" w:space="0" w:color="BFBFBF"/>
              <w:right w:val="single" w:sz="4" w:space="0" w:color="BFBFBF"/>
            </w:tcBorders>
            <w:shd w:val="clear" w:color="auto" w:fill="auto"/>
            <w:noWrap/>
            <w:vAlign w:val="center"/>
            <w:hideMark/>
          </w:tcPr>
          <w:p w14:paraId="533BD56E" w14:textId="77777777" w:rsidR="00C01C52" w:rsidRPr="00017022" w:rsidRDefault="00F60FAA" w:rsidP="00C01C52">
            <w:pPr>
              <w:spacing w:line="240" w:lineRule="auto"/>
              <w:jc w:val="right"/>
              <w:rPr>
                <w:rFonts w:cs="Arial"/>
                <w:szCs w:val="22"/>
              </w:rPr>
            </w:pPr>
            <w:r w:rsidRPr="00017022">
              <w:rPr>
                <w:rFonts w:cs="Arial"/>
                <w:szCs w:val="22"/>
              </w:rPr>
              <w:t>(94)</w:t>
            </w:r>
          </w:p>
        </w:tc>
        <w:tc>
          <w:tcPr>
            <w:tcW w:w="1169" w:type="dxa"/>
            <w:tcBorders>
              <w:top w:val="nil"/>
              <w:left w:val="nil"/>
              <w:bottom w:val="single" w:sz="4" w:space="0" w:color="BFBFBF"/>
              <w:right w:val="single" w:sz="4" w:space="0" w:color="BFBFBF"/>
            </w:tcBorders>
            <w:shd w:val="clear" w:color="auto" w:fill="auto"/>
            <w:noWrap/>
            <w:vAlign w:val="center"/>
            <w:hideMark/>
          </w:tcPr>
          <w:p w14:paraId="533BD56F" w14:textId="77777777" w:rsidR="00C01C52" w:rsidRPr="00017022" w:rsidRDefault="00F60FAA" w:rsidP="00C01C52">
            <w:pPr>
              <w:spacing w:line="240" w:lineRule="auto"/>
              <w:jc w:val="right"/>
              <w:rPr>
                <w:rFonts w:cs="Arial"/>
                <w:szCs w:val="22"/>
              </w:rPr>
            </w:pPr>
            <w:r w:rsidRPr="00017022">
              <w:rPr>
                <w:rFonts w:cs="Arial"/>
                <w:szCs w:val="22"/>
              </w:rPr>
              <w:t>(</w:t>
            </w:r>
            <w:r>
              <w:rPr>
                <w:rFonts w:cs="Arial"/>
                <w:szCs w:val="22"/>
              </w:rPr>
              <w:t>95</w:t>
            </w:r>
            <w:r w:rsidRPr="00017022">
              <w:rPr>
                <w:rFonts w:cs="Arial"/>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533BD570" w14:textId="77777777" w:rsidR="00C01C52" w:rsidRPr="00017022" w:rsidRDefault="00F60FAA" w:rsidP="00C01C52">
            <w:pPr>
              <w:spacing w:line="240" w:lineRule="auto"/>
              <w:jc w:val="right"/>
              <w:rPr>
                <w:rFonts w:cs="Arial"/>
                <w:szCs w:val="22"/>
              </w:rPr>
            </w:pPr>
            <w:r>
              <w:rPr>
                <w:rFonts w:cs="Arial"/>
                <w:szCs w:val="22"/>
              </w:rPr>
              <w:t>-</w:t>
            </w:r>
          </w:p>
        </w:tc>
      </w:tr>
      <w:tr w:rsidR="002B7C48" w14:paraId="533BD577" w14:textId="77777777" w:rsidTr="00C01C52">
        <w:trPr>
          <w:trHeight w:val="284"/>
        </w:trPr>
        <w:tc>
          <w:tcPr>
            <w:tcW w:w="4536" w:type="dxa"/>
            <w:tcBorders>
              <w:top w:val="nil"/>
              <w:left w:val="single" w:sz="4" w:space="0" w:color="auto"/>
              <w:bottom w:val="nil"/>
              <w:right w:val="nil"/>
            </w:tcBorders>
            <w:shd w:val="clear" w:color="auto" w:fill="auto"/>
            <w:noWrap/>
            <w:vAlign w:val="center"/>
            <w:hideMark/>
          </w:tcPr>
          <w:p w14:paraId="533BD572" w14:textId="77777777" w:rsidR="00C01C52" w:rsidRPr="00017022" w:rsidRDefault="00F60FAA" w:rsidP="00C01C52">
            <w:pPr>
              <w:spacing w:before="120" w:line="240" w:lineRule="auto"/>
              <w:jc w:val="left"/>
              <w:rPr>
                <w:rFonts w:cs="Arial"/>
                <w:b/>
                <w:bCs/>
                <w:szCs w:val="22"/>
              </w:rPr>
            </w:pPr>
            <w:r w:rsidRPr="00017022">
              <w:rPr>
                <w:rFonts w:cs="Arial"/>
                <w:b/>
                <w:bCs/>
                <w:szCs w:val="22"/>
              </w:rPr>
              <w:t>Customer Experience &amp; Operations</w:t>
            </w:r>
          </w:p>
        </w:tc>
        <w:tc>
          <w:tcPr>
            <w:tcW w:w="1169" w:type="dxa"/>
            <w:tcBorders>
              <w:top w:val="nil"/>
              <w:left w:val="nil"/>
              <w:bottom w:val="nil"/>
              <w:right w:val="nil"/>
            </w:tcBorders>
            <w:shd w:val="clear" w:color="auto" w:fill="auto"/>
            <w:noWrap/>
            <w:vAlign w:val="center"/>
            <w:hideMark/>
          </w:tcPr>
          <w:p w14:paraId="533BD573" w14:textId="77777777" w:rsidR="00C01C52" w:rsidRPr="00017022" w:rsidRDefault="00F60FAA" w:rsidP="00C01C52">
            <w:pPr>
              <w:spacing w:line="240" w:lineRule="auto"/>
              <w:jc w:val="left"/>
              <w:rPr>
                <w:rFonts w:cs="Arial"/>
                <w:b/>
                <w:bCs/>
                <w:szCs w:val="22"/>
              </w:rPr>
            </w:pPr>
          </w:p>
        </w:tc>
        <w:tc>
          <w:tcPr>
            <w:tcW w:w="1169" w:type="dxa"/>
            <w:tcBorders>
              <w:top w:val="nil"/>
              <w:left w:val="nil"/>
              <w:bottom w:val="nil"/>
              <w:right w:val="nil"/>
            </w:tcBorders>
            <w:shd w:val="clear" w:color="auto" w:fill="auto"/>
            <w:noWrap/>
            <w:vAlign w:val="center"/>
            <w:hideMark/>
          </w:tcPr>
          <w:p w14:paraId="533BD574" w14:textId="77777777" w:rsidR="00C01C52" w:rsidRPr="00017022" w:rsidRDefault="00F60FAA" w:rsidP="00C01C52">
            <w:pPr>
              <w:spacing w:line="240" w:lineRule="auto"/>
              <w:jc w:val="right"/>
              <w:rPr>
                <w:rFonts w:cs="Arial"/>
                <w:sz w:val="20"/>
              </w:rPr>
            </w:pPr>
          </w:p>
        </w:tc>
        <w:tc>
          <w:tcPr>
            <w:tcW w:w="1169" w:type="dxa"/>
            <w:tcBorders>
              <w:top w:val="nil"/>
              <w:left w:val="nil"/>
              <w:bottom w:val="nil"/>
              <w:right w:val="nil"/>
            </w:tcBorders>
            <w:shd w:val="clear" w:color="auto" w:fill="auto"/>
            <w:noWrap/>
            <w:vAlign w:val="center"/>
            <w:hideMark/>
          </w:tcPr>
          <w:p w14:paraId="533BD575" w14:textId="77777777" w:rsidR="00C01C52" w:rsidRPr="00017022" w:rsidRDefault="00F60FAA" w:rsidP="00C01C52">
            <w:pPr>
              <w:spacing w:line="240" w:lineRule="auto"/>
              <w:jc w:val="right"/>
              <w:rPr>
                <w:rFonts w:cs="Arial"/>
                <w:sz w:val="20"/>
              </w:rPr>
            </w:pPr>
          </w:p>
        </w:tc>
        <w:tc>
          <w:tcPr>
            <w:tcW w:w="1170" w:type="dxa"/>
            <w:tcBorders>
              <w:top w:val="nil"/>
              <w:left w:val="nil"/>
              <w:bottom w:val="nil"/>
              <w:right w:val="single" w:sz="4" w:space="0" w:color="auto"/>
            </w:tcBorders>
            <w:shd w:val="clear" w:color="auto" w:fill="auto"/>
            <w:noWrap/>
            <w:vAlign w:val="center"/>
            <w:hideMark/>
          </w:tcPr>
          <w:p w14:paraId="533BD576" w14:textId="77777777" w:rsidR="00C01C52" w:rsidRPr="00017022" w:rsidRDefault="00F60FAA" w:rsidP="00C01C52">
            <w:pPr>
              <w:spacing w:line="240" w:lineRule="auto"/>
              <w:jc w:val="right"/>
              <w:rPr>
                <w:rFonts w:cs="Arial"/>
                <w:sz w:val="20"/>
              </w:rPr>
            </w:pPr>
          </w:p>
        </w:tc>
      </w:tr>
      <w:tr w:rsidR="002B7C48" w14:paraId="533BD57D" w14:textId="77777777" w:rsidTr="00C01C52">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533BD578" w14:textId="77777777" w:rsidR="00C01C52" w:rsidRPr="00017022" w:rsidRDefault="00F60FAA" w:rsidP="00C01C52">
            <w:pPr>
              <w:spacing w:line="240" w:lineRule="auto"/>
              <w:jc w:val="left"/>
              <w:rPr>
                <w:rFonts w:cs="Arial"/>
                <w:szCs w:val="22"/>
              </w:rPr>
            </w:pPr>
            <w:r w:rsidRPr="00017022">
              <w:rPr>
                <w:rFonts w:cs="Arial"/>
                <w:szCs w:val="22"/>
              </w:rPr>
              <w:t>Court summons costs recovered</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79" w14:textId="77777777" w:rsidR="00C01C52" w:rsidRPr="00017022" w:rsidRDefault="00F60FAA" w:rsidP="00C01C52">
            <w:pPr>
              <w:spacing w:line="240" w:lineRule="auto"/>
              <w:jc w:val="right"/>
              <w:rPr>
                <w:rFonts w:cs="Arial"/>
                <w:szCs w:val="22"/>
              </w:rPr>
            </w:pPr>
            <w:r w:rsidRPr="00017022">
              <w:rPr>
                <w:rFonts w:cs="Arial"/>
                <w:szCs w:val="22"/>
              </w:rPr>
              <w:t>(213)</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7A" w14:textId="77777777" w:rsidR="00C01C52" w:rsidRPr="00017022" w:rsidRDefault="00F60FAA" w:rsidP="00C01C52">
            <w:pPr>
              <w:spacing w:line="240" w:lineRule="auto"/>
              <w:jc w:val="right"/>
              <w:rPr>
                <w:rFonts w:cs="Arial"/>
                <w:szCs w:val="22"/>
              </w:rPr>
            </w:pPr>
            <w:r w:rsidRPr="00017022">
              <w:rPr>
                <w:rFonts w:cs="Arial"/>
                <w:szCs w:val="22"/>
              </w:rPr>
              <w:t>(228)</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7B" w14:textId="77777777" w:rsidR="00C01C52" w:rsidRPr="00017022" w:rsidRDefault="00F60FAA" w:rsidP="00C01C52">
            <w:pPr>
              <w:spacing w:line="240" w:lineRule="auto"/>
              <w:jc w:val="right"/>
              <w:rPr>
                <w:rFonts w:cs="Arial"/>
                <w:szCs w:val="22"/>
              </w:rPr>
            </w:pPr>
            <w:r w:rsidRPr="00017022">
              <w:rPr>
                <w:rFonts w:cs="Arial"/>
                <w:szCs w:val="22"/>
              </w:rPr>
              <w:t>(228)</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533BD57C" w14:textId="77777777" w:rsidR="00C01C52" w:rsidRPr="00017022" w:rsidRDefault="00F60FAA" w:rsidP="00C01C52">
            <w:pPr>
              <w:spacing w:line="240" w:lineRule="auto"/>
              <w:jc w:val="right"/>
              <w:rPr>
                <w:rFonts w:cs="Arial"/>
                <w:szCs w:val="22"/>
              </w:rPr>
            </w:pPr>
            <w:r w:rsidRPr="00017022">
              <w:rPr>
                <w:rFonts w:cs="Arial"/>
                <w:szCs w:val="22"/>
              </w:rPr>
              <w:t xml:space="preserve">-  </w:t>
            </w:r>
          </w:p>
        </w:tc>
      </w:tr>
      <w:tr w:rsidR="002B7C48" w14:paraId="533BD583" w14:textId="77777777" w:rsidTr="00C01C52">
        <w:trPr>
          <w:trHeight w:val="284"/>
        </w:trPr>
        <w:tc>
          <w:tcPr>
            <w:tcW w:w="4536" w:type="dxa"/>
            <w:tcBorders>
              <w:top w:val="nil"/>
              <w:left w:val="single" w:sz="4" w:space="0" w:color="auto"/>
              <w:bottom w:val="nil"/>
              <w:right w:val="nil"/>
            </w:tcBorders>
            <w:shd w:val="clear" w:color="auto" w:fill="auto"/>
            <w:noWrap/>
            <w:vAlign w:val="center"/>
            <w:hideMark/>
          </w:tcPr>
          <w:p w14:paraId="533BD57E" w14:textId="77777777" w:rsidR="00C01C52" w:rsidRPr="00017022" w:rsidRDefault="00F60FAA" w:rsidP="00C01C52">
            <w:pPr>
              <w:spacing w:before="120" w:line="240" w:lineRule="auto"/>
              <w:jc w:val="left"/>
              <w:rPr>
                <w:rFonts w:cs="Arial"/>
                <w:b/>
                <w:bCs/>
                <w:szCs w:val="22"/>
              </w:rPr>
            </w:pPr>
            <w:r w:rsidRPr="00017022">
              <w:rPr>
                <w:rFonts w:cs="Arial"/>
                <w:b/>
                <w:bCs/>
                <w:szCs w:val="22"/>
              </w:rPr>
              <w:t xml:space="preserve">Budgets Not </w:t>
            </w:r>
            <w:proofErr w:type="gramStart"/>
            <w:r w:rsidRPr="00017022">
              <w:rPr>
                <w:rFonts w:cs="Arial"/>
                <w:b/>
                <w:bCs/>
                <w:szCs w:val="22"/>
              </w:rPr>
              <w:t>In</w:t>
            </w:r>
            <w:proofErr w:type="gramEnd"/>
            <w:r w:rsidRPr="00017022">
              <w:rPr>
                <w:rFonts w:cs="Arial"/>
                <w:b/>
                <w:bCs/>
                <w:szCs w:val="22"/>
              </w:rPr>
              <w:t xml:space="preserve"> Directorates</w:t>
            </w:r>
          </w:p>
        </w:tc>
        <w:tc>
          <w:tcPr>
            <w:tcW w:w="1169" w:type="dxa"/>
            <w:tcBorders>
              <w:top w:val="nil"/>
              <w:left w:val="nil"/>
              <w:bottom w:val="nil"/>
              <w:right w:val="nil"/>
            </w:tcBorders>
            <w:shd w:val="clear" w:color="auto" w:fill="auto"/>
            <w:vAlign w:val="center"/>
            <w:hideMark/>
          </w:tcPr>
          <w:p w14:paraId="533BD57F" w14:textId="77777777" w:rsidR="00C01C52" w:rsidRPr="00017022" w:rsidRDefault="00F60FAA" w:rsidP="00C01C52">
            <w:pPr>
              <w:spacing w:line="240" w:lineRule="auto"/>
              <w:jc w:val="left"/>
              <w:rPr>
                <w:rFonts w:cs="Arial"/>
                <w:b/>
                <w:bCs/>
                <w:szCs w:val="22"/>
              </w:rPr>
            </w:pPr>
          </w:p>
        </w:tc>
        <w:tc>
          <w:tcPr>
            <w:tcW w:w="1169" w:type="dxa"/>
            <w:tcBorders>
              <w:top w:val="nil"/>
              <w:left w:val="nil"/>
              <w:bottom w:val="nil"/>
              <w:right w:val="nil"/>
            </w:tcBorders>
            <w:shd w:val="clear" w:color="auto" w:fill="auto"/>
            <w:vAlign w:val="center"/>
            <w:hideMark/>
          </w:tcPr>
          <w:p w14:paraId="533BD580" w14:textId="77777777" w:rsidR="00C01C52" w:rsidRPr="00017022" w:rsidRDefault="00F60FAA" w:rsidP="00C01C52">
            <w:pPr>
              <w:spacing w:line="240" w:lineRule="auto"/>
              <w:jc w:val="center"/>
              <w:rPr>
                <w:rFonts w:cs="Arial"/>
                <w:sz w:val="20"/>
              </w:rPr>
            </w:pPr>
          </w:p>
        </w:tc>
        <w:tc>
          <w:tcPr>
            <w:tcW w:w="1169" w:type="dxa"/>
            <w:tcBorders>
              <w:top w:val="nil"/>
              <w:left w:val="nil"/>
              <w:bottom w:val="nil"/>
              <w:right w:val="nil"/>
            </w:tcBorders>
            <w:shd w:val="clear" w:color="auto" w:fill="auto"/>
            <w:vAlign w:val="center"/>
            <w:hideMark/>
          </w:tcPr>
          <w:p w14:paraId="533BD581" w14:textId="77777777" w:rsidR="00C01C52" w:rsidRPr="00017022" w:rsidRDefault="00F60FAA" w:rsidP="00C01C52">
            <w:pPr>
              <w:spacing w:line="240" w:lineRule="auto"/>
              <w:jc w:val="center"/>
              <w:rPr>
                <w:rFonts w:cs="Arial"/>
                <w:sz w:val="20"/>
              </w:rPr>
            </w:pPr>
          </w:p>
        </w:tc>
        <w:tc>
          <w:tcPr>
            <w:tcW w:w="1170" w:type="dxa"/>
            <w:tcBorders>
              <w:top w:val="nil"/>
              <w:left w:val="nil"/>
              <w:bottom w:val="nil"/>
              <w:right w:val="single" w:sz="4" w:space="0" w:color="auto"/>
            </w:tcBorders>
            <w:shd w:val="clear" w:color="auto" w:fill="auto"/>
            <w:vAlign w:val="center"/>
            <w:hideMark/>
          </w:tcPr>
          <w:p w14:paraId="533BD582" w14:textId="77777777" w:rsidR="00C01C52" w:rsidRPr="00017022" w:rsidRDefault="00F60FAA" w:rsidP="00C01C52">
            <w:pPr>
              <w:spacing w:line="240" w:lineRule="auto"/>
              <w:jc w:val="center"/>
              <w:rPr>
                <w:rFonts w:cs="Arial"/>
                <w:sz w:val="20"/>
              </w:rPr>
            </w:pPr>
          </w:p>
        </w:tc>
      </w:tr>
      <w:tr w:rsidR="002B7C48" w14:paraId="533BD589" w14:textId="77777777" w:rsidTr="00C01C52">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533BD584" w14:textId="77777777" w:rsidR="00C01C52" w:rsidRPr="00017022" w:rsidRDefault="00F60FAA" w:rsidP="00C01C52">
            <w:pPr>
              <w:spacing w:line="240" w:lineRule="auto"/>
              <w:jc w:val="left"/>
              <w:rPr>
                <w:rFonts w:cs="Arial"/>
                <w:szCs w:val="22"/>
              </w:rPr>
            </w:pPr>
            <w:r w:rsidRPr="00017022">
              <w:rPr>
                <w:rFonts w:cs="Arial"/>
                <w:szCs w:val="22"/>
              </w:rPr>
              <w:t>Interest on investments</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85" w14:textId="77777777" w:rsidR="00C01C52" w:rsidRPr="00017022" w:rsidRDefault="00F60FAA" w:rsidP="00C01C52">
            <w:pPr>
              <w:spacing w:line="240" w:lineRule="auto"/>
              <w:jc w:val="right"/>
              <w:rPr>
                <w:rFonts w:cs="Arial"/>
                <w:szCs w:val="22"/>
              </w:rPr>
            </w:pPr>
            <w:r w:rsidRPr="00017022">
              <w:rPr>
                <w:rFonts w:cs="Arial"/>
                <w:szCs w:val="22"/>
              </w:rPr>
              <w:t>(303)</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86" w14:textId="77777777" w:rsidR="00C01C52" w:rsidRPr="00017022" w:rsidRDefault="00F60FAA" w:rsidP="00C01C52">
            <w:pPr>
              <w:spacing w:line="240" w:lineRule="auto"/>
              <w:jc w:val="right"/>
              <w:rPr>
                <w:rFonts w:cs="Arial"/>
                <w:szCs w:val="22"/>
              </w:rPr>
            </w:pPr>
            <w:r w:rsidRPr="00017022">
              <w:rPr>
                <w:rFonts w:cs="Arial"/>
                <w:szCs w:val="22"/>
              </w:rPr>
              <w:t>(</w:t>
            </w:r>
            <w:r>
              <w:rPr>
                <w:rFonts w:cs="Arial"/>
                <w:szCs w:val="22"/>
              </w:rPr>
              <w:t>32</w:t>
            </w:r>
            <w:r w:rsidRPr="00017022">
              <w:rPr>
                <w:rFonts w:cs="Arial"/>
                <w:szCs w:val="22"/>
              </w:rPr>
              <w:t>0)</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533BD587" w14:textId="77777777" w:rsidR="00C01C52" w:rsidRPr="00017022" w:rsidRDefault="00F60FAA" w:rsidP="00C01C52">
            <w:pPr>
              <w:spacing w:line="240" w:lineRule="auto"/>
              <w:jc w:val="right"/>
              <w:rPr>
                <w:rFonts w:cs="Arial"/>
                <w:szCs w:val="22"/>
              </w:rPr>
            </w:pPr>
            <w:r w:rsidRPr="00017022">
              <w:rPr>
                <w:rFonts w:cs="Arial"/>
                <w:szCs w:val="22"/>
              </w:rPr>
              <w:t>(3</w:t>
            </w:r>
            <w:r>
              <w:rPr>
                <w:rFonts w:cs="Arial"/>
                <w:szCs w:val="22"/>
              </w:rPr>
              <w:t>20</w:t>
            </w:r>
            <w:r w:rsidRPr="00017022">
              <w:rPr>
                <w:rFonts w:cs="Arial"/>
                <w:szCs w:val="22"/>
              </w:rPr>
              <w:t>)</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533BD588" w14:textId="77777777" w:rsidR="00C01C52" w:rsidRPr="00017022" w:rsidRDefault="00F60FAA" w:rsidP="00C01C52">
            <w:pPr>
              <w:spacing w:line="240" w:lineRule="auto"/>
              <w:jc w:val="right"/>
              <w:rPr>
                <w:rFonts w:cs="Arial"/>
                <w:szCs w:val="22"/>
              </w:rPr>
            </w:pPr>
            <w:r>
              <w:rPr>
                <w:rFonts w:cs="Arial"/>
                <w:szCs w:val="22"/>
              </w:rPr>
              <w:t>-</w:t>
            </w:r>
          </w:p>
        </w:tc>
      </w:tr>
      <w:tr w:rsidR="002B7C48" w14:paraId="533BD58F" w14:textId="77777777" w:rsidTr="00C01C52">
        <w:trPr>
          <w:trHeight w:val="227"/>
        </w:trPr>
        <w:tc>
          <w:tcPr>
            <w:tcW w:w="4536" w:type="dxa"/>
            <w:tcBorders>
              <w:top w:val="nil"/>
              <w:left w:val="single" w:sz="4" w:space="0" w:color="auto"/>
              <w:bottom w:val="nil"/>
              <w:right w:val="nil"/>
            </w:tcBorders>
            <w:shd w:val="clear" w:color="auto" w:fill="auto"/>
            <w:vAlign w:val="center"/>
            <w:hideMark/>
          </w:tcPr>
          <w:p w14:paraId="533BD58A" w14:textId="77777777" w:rsidR="00C01C52" w:rsidRPr="00A67602" w:rsidRDefault="00F60FAA" w:rsidP="00C01C52">
            <w:pPr>
              <w:spacing w:line="240" w:lineRule="auto"/>
              <w:jc w:val="right"/>
              <w:rPr>
                <w:rFonts w:cs="Arial"/>
                <w:color w:val="000000"/>
                <w:szCs w:val="22"/>
              </w:rPr>
            </w:pPr>
          </w:p>
        </w:tc>
        <w:tc>
          <w:tcPr>
            <w:tcW w:w="1169" w:type="dxa"/>
            <w:tcBorders>
              <w:top w:val="nil"/>
              <w:left w:val="nil"/>
              <w:bottom w:val="nil"/>
              <w:right w:val="nil"/>
            </w:tcBorders>
            <w:shd w:val="clear" w:color="auto" w:fill="auto"/>
            <w:vAlign w:val="center"/>
            <w:hideMark/>
          </w:tcPr>
          <w:p w14:paraId="533BD58B" w14:textId="77777777" w:rsidR="00C01C52" w:rsidRPr="00A67602" w:rsidRDefault="00F60FAA" w:rsidP="00C01C52">
            <w:pPr>
              <w:spacing w:line="240" w:lineRule="auto"/>
              <w:jc w:val="left"/>
              <w:rPr>
                <w:rFonts w:cs="Arial"/>
                <w:sz w:val="20"/>
              </w:rPr>
            </w:pPr>
          </w:p>
        </w:tc>
        <w:tc>
          <w:tcPr>
            <w:tcW w:w="1169" w:type="dxa"/>
            <w:tcBorders>
              <w:top w:val="nil"/>
              <w:left w:val="nil"/>
              <w:bottom w:val="nil"/>
              <w:right w:val="nil"/>
            </w:tcBorders>
            <w:shd w:val="clear" w:color="auto" w:fill="auto"/>
            <w:vAlign w:val="center"/>
            <w:hideMark/>
          </w:tcPr>
          <w:p w14:paraId="533BD58C" w14:textId="77777777" w:rsidR="00C01C52" w:rsidRPr="00A67602" w:rsidRDefault="00F60FAA" w:rsidP="00C01C52">
            <w:pPr>
              <w:spacing w:line="240" w:lineRule="auto"/>
              <w:jc w:val="center"/>
              <w:rPr>
                <w:rFonts w:cs="Arial"/>
                <w:sz w:val="20"/>
              </w:rPr>
            </w:pPr>
          </w:p>
        </w:tc>
        <w:tc>
          <w:tcPr>
            <w:tcW w:w="1169" w:type="dxa"/>
            <w:tcBorders>
              <w:top w:val="nil"/>
              <w:left w:val="nil"/>
              <w:bottom w:val="nil"/>
              <w:right w:val="nil"/>
            </w:tcBorders>
            <w:shd w:val="clear" w:color="auto" w:fill="auto"/>
            <w:vAlign w:val="center"/>
            <w:hideMark/>
          </w:tcPr>
          <w:p w14:paraId="533BD58D" w14:textId="77777777" w:rsidR="00C01C52" w:rsidRPr="00A67602" w:rsidRDefault="00F60FAA" w:rsidP="00C01C52">
            <w:pPr>
              <w:spacing w:line="240" w:lineRule="auto"/>
              <w:jc w:val="center"/>
              <w:rPr>
                <w:rFonts w:cs="Arial"/>
                <w:sz w:val="20"/>
              </w:rPr>
            </w:pPr>
          </w:p>
        </w:tc>
        <w:tc>
          <w:tcPr>
            <w:tcW w:w="1170" w:type="dxa"/>
            <w:tcBorders>
              <w:top w:val="nil"/>
              <w:left w:val="nil"/>
              <w:bottom w:val="nil"/>
              <w:right w:val="single" w:sz="4" w:space="0" w:color="auto"/>
            </w:tcBorders>
            <w:shd w:val="clear" w:color="auto" w:fill="auto"/>
            <w:vAlign w:val="center"/>
            <w:hideMark/>
          </w:tcPr>
          <w:p w14:paraId="533BD58E" w14:textId="77777777" w:rsidR="00C01C52" w:rsidRPr="00A67602" w:rsidRDefault="00F60FAA" w:rsidP="00C01C52">
            <w:pPr>
              <w:spacing w:line="240" w:lineRule="auto"/>
              <w:jc w:val="center"/>
              <w:rPr>
                <w:rFonts w:cs="Arial"/>
                <w:sz w:val="20"/>
              </w:rPr>
            </w:pPr>
          </w:p>
        </w:tc>
      </w:tr>
      <w:tr w:rsidR="002B7C48" w14:paraId="533BD595" w14:textId="77777777" w:rsidTr="00C01C52">
        <w:trPr>
          <w:trHeight w:val="284"/>
        </w:trPr>
        <w:tc>
          <w:tcPr>
            <w:tcW w:w="4536" w:type="dxa"/>
            <w:tcBorders>
              <w:top w:val="nil"/>
              <w:left w:val="single" w:sz="4" w:space="0" w:color="auto"/>
              <w:bottom w:val="single" w:sz="4" w:space="0" w:color="auto"/>
              <w:right w:val="nil"/>
            </w:tcBorders>
            <w:shd w:val="clear" w:color="auto" w:fill="auto"/>
            <w:noWrap/>
            <w:vAlign w:val="center"/>
          </w:tcPr>
          <w:p w14:paraId="533BD590" w14:textId="77777777" w:rsidR="00C01C52" w:rsidRPr="00E12977" w:rsidRDefault="00F60FAA" w:rsidP="00C01C52">
            <w:pPr>
              <w:spacing w:line="240" w:lineRule="auto"/>
              <w:jc w:val="left"/>
              <w:rPr>
                <w:rFonts w:cs="Arial"/>
                <w:b/>
                <w:bCs/>
                <w:szCs w:val="22"/>
              </w:rPr>
            </w:pPr>
          </w:p>
        </w:tc>
        <w:tc>
          <w:tcPr>
            <w:tcW w:w="1169" w:type="dxa"/>
            <w:tcBorders>
              <w:top w:val="single" w:sz="4" w:space="0" w:color="auto"/>
              <w:left w:val="nil"/>
              <w:bottom w:val="single" w:sz="4" w:space="0" w:color="auto"/>
              <w:right w:val="nil"/>
            </w:tcBorders>
            <w:shd w:val="clear" w:color="auto" w:fill="auto"/>
            <w:noWrap/>
            <w:vAlign w:val="center"/>
            <w:hideMark/>
          </w:tcPr>
          <w:p w14:paraId="533BD591" w14:textId="77777777" w:rsidR="00C01C52" w:rsidRPr="006D61C1" w:rsidRDefault="00F60FAA" w:rsidP="00C01C52">
            <w:pPr>
              <w:spacing w:line="240" w:lineRule="auto"/>
              <w:jc w:val="right"/>
              <w:rPr>
                <w:rFonts w:cs="Arial"/>
                <w:b/>
                <w:bCs/>
                <w:szCs w:val="22"/>
              </w:rPr>
            </w:pPr>
            <w:r w:rsidRPr="006D61C1">
              <w:rPr>
                <w:rFonts w:cs="Arial"/>
                <w:b/>
                <w:bCs/>
                <w:szCs w:val="22"/>
              </w:rPr>
              <w:t>(4,839)</w:t>
            </w:r>
          </w:p>
        </w:tc>
        <w:tc>
          <w:tcPr>
            <w:tcW w:w="1169" w:type="dxa"/>
            <w:tcBorders>
              <w:top w:val="single" w:sz="4" w:space="0" w:color="auto"/>
              <w:left w:val="nil"/>
              <w:bottom w:val="single" w:sz="4" w:space="0" w:color="auto"/>
              <w:right w:val="nil"/>
            </w:tcBorders>
            <w:shd w:val="clear" w:color="auto" w:fill="auto"/>
            <w:noWrap/>
            <w:vAlign w:val="center"/>
            <w:hideMark/>
          </w:tcPr>
          <w:p w14:paraId="533BD592" w14:textId="77777777" w:rsidR="00C01C52" w:rsidRPr="006D61C1" w:rsidRDefault="00F60FAA" w:rsidP="00C01C52">
            <w:pPr>
              <w:spacing w:line="240" w:lineRule="auto"/>
              <w:jc w:val="right"/>
              <w:rPr>
                <w:rFonts w:cs="Arial"/>
                <w:b/>
                <w:bCs/>
                <w:szCs w:val="22"/>
              </w:rPr>
            </w:pPr>
            <w:r w:rsidRPr="006D61C1">
              <w:rPr>
                <w:rFonts w:cs="Arial"/>
                <w:b/>
                <w:bCs/>
                <w:szCs w:val="22"/>
              </w:rPr>
              <w:t>(4,</w:t>
            </w:r>
            <w:r>
              <w:rPr>
                <w:rFonts w:cs="Arial"/>
                <w:b/>
                <w:bCs/>
                <w:szCs w:val="22"/>
              </w:rPr>
              <w:t>848</w:t>
            </w:r>
            <w:r w:rsidRPr="006D61C1">
              <w:rPr>
                <w:rFonts w:cs="Arial"/>
                <w:b/>
                <w:bCs/>
                <w:szCs w:val="22"/>
              </w:rPr>
              <w:t>)</w:t>
            </w:r>
          </w:p>
        </w:tc>
        <w:tc>
          <w:tcPr>
            <w:tcW w:w="1169" w:type="dxa"/>
            <w:tcBorders>
              <w:top w:val="single" w:sz="4" w:space="0" w:color="auto"/>
              <w:left w:val="nil"/>
              <w:bottom w:val="single" w:sz="4" w:space="0" w:color="auto"/>
              <w:right w:val="nil"/>
            </w:tcBorders>
            <w:shd w:val="clear" w:color="auto" w:fill="auto"/>
            <w:noWrap/>
            <w:vAlign w:val="center"/>
            <w:hideMark/>
          </w:tcPr>
          <w:p w14:paraId="533BD593" w14:textId="77777777" w:rsidR="00C01C52" w:rsidRPr="006D61C1" w:rsidRDefault="00F60FAA" w:rsidP="00C01C52">
            <w:pPr>
              <w:spacing w:line="240" w:lineRule="auto"/>
              <w:jc w:val="right"/>
              <w:rPr>
                <w:rFonts w:cs="Arial"/>
                <w:b/>
                <w:bCs/>
                <w:szCs w:val="22"/>
              </w:rPr>
            </w:pPr>
            <w:r w:rsidRPr="006D61C1">
              <w:rPr>
                <w:rFonts w:cs="Arial"/>
                <w:b/>
                <w:bCs/>
                <w:szCs w:val="22"/>
              </w:rPr>
              <w:t>(5,</w:t>
            </w:r>
            <w:r>
              <w:rPr>
                <w:rFonts w:cs="Arial"/>
                <w:b/>
                <w:bCs/>
                <w:szCs w:val="22"/>
              </w:rPr>
              <w:t>075</w:t>
            </w:r>
            <w:r w:rsidRPr="006D61C1">
              <w:rPr>
                <w:rFonts w:cs="Arial"/>
                <w:b/>
                <w:bCs/>
                <w:szCs w:val="22"/>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33BD594" w14:textId="77777777" w:rsidR="00C01C52" w:rsidRPr="006D61C1" w:rsidRDefault="00F60FAA" w:rsidP="00C01C52">
            <w:pPr>
              <w:spacing w:line="240" w:lineRule="auto"/>
              <w:jc w:val="right"/>
              <w:rPr>
                <w:rFonts w:cs="Arial"/>
                <w:b/>
                <w:bCs/>
                <w:szCs w:val="22"/>
              </w:rPr>
            </w:pPr>
            <w:r w:rsidRPr="006D61C1">
              <w:rPr>
                <w:rFonts w:cs="Arial"/>
                <w:b/>
                <w:bCs/>
                <w:szCs w:val="22"/>
              </w:rPr>
              <w:t>(</w:t>
            </w:r>
            <w:r>
              <w:rPr>
                <w:rFonts w:cs="Arial"/>
                <w:b/>
                <w:bCs/>
                <w:szCs w:val="22"/>
              </w:rPr>
              <w:t>227</w:t>
            </w:r>
            <w:r w:rsidRPr="006D61C1">
              <w:rPr>
                <w:rFonts w:cs="Arial"/>
                <w:b/>
                <w:bCs/>
                <w:szCs w:val="22"/>
              </w:rPr>
              <w:t>)</w:t>
            </w:r>
          </w:p>
        </w:tc>
      </w:tr>
    </w:tbl>
    <w:p w14:paraId="533BD596" w14:textId="77777777" w:rsidR="00C01C52" w:rsidRDefault="00F60FAA">
      <w:pPr>
        <w:spacing w:after="160" w:line="259" w:lineRule="auto"/>
        <w:jc w:val="left"/>
      </w:pPr>
      <w:r>
        <w:br w:type="page"/>
      </w:r>
    </w:p>
    <w:p w14:paraId="533BD597" w14:textId="77777777" w:rsidR="00C01C52" w:rsidRDefault="00F60FAA" w:rsidP="00C01C52">
      <w:pPr>
        <w:pStyle w:val="ListParagraph"/>
      </w:pPr>
      <w:r>
        <w:lastRenderedPageBreak/>
        <w:t xml:space="preserve">The main income variations are as </w:t>
      </w:r>
      <w:r>
        <w:t>follows:</w:t>
      </w:r>
    </w:p>
    <w:p w14:paraId="533BD598" w14:textId="77777777" w:rsidR="00C01C52" w:rsidRDefault="00F60FAA" w:rsidP="00C01C52">
      <w:pPr>
        <w:pStyle w:val="ListParagraph"/>
        <w:numPr>
          <w:ilvl w:val="1"/>
          <w:numId w:val="5"/>
        </w:numPr>
        <w:ind w:left="811" w:hanging="357"/>
      </w:pPr>
      <w:r>
        <w:t xml:space="preserve">Community Sports Coaching – the funding in respect of the </w:t>
      </w:r>
      <w:proofErr w:type="spellStart"/>
      <w:r>
        <w:t>bikeability</w:t>
      </w:r>
      <w:proofErr w:type="spellEnd"/>
      <w:r>
        <w:t xml:space="preserve"> scheme has been confirmed but was uncertain and therefore not included in the original budgets. This income is ring-fenced and will be spent on providing the service and therefo</w:t>
      </w:r>
      <w:r>
        <w:t>re is not expected to impact on the final outturn position.</w:t>
      </w:r>
    </w:p>
    <w:p w14:paraId="533BD599" w14:textId="77777777" w:rsidR="00C01C52" w:rsidRDefault="00F60FAA" w:rsidP="00C01C52">
      <w:pPr>
        <w:pStyle w:val="ListParagraph"/>
        <w:numPr>
          <w:ilvl w:val="1"/>
          <w:numId w:val="5"/>
        </w:numPr>
        <w:ind w:left="811" w:hanging="357"/>
      </w:pPr>
      <w:r>
        <w:t>Civic Centre rentals – the forecast has been updated to reflect the final agreements with DWP in respect of the lease and related service charges.</w:t>
      </w:r>
    </w:p>
    <w:p w14:paraId="533BD59A" w14:textId="77777777" w:rsidR="00C01C52" w:rsidRDefault="00F60FAA" w:rsidP="00C01C52">
      <w:pPr>
        <w:pStyle w:val="ListParagraph"/>
        <w:numPr>
          <w:ilvl w:val="1"/>
          <w:numId w:val="5"/>
        </w:numPr>
        <w:ind w:left="811" w:hanging="357"/>
      </w:pPr>
      <w:r>
        <w:t>Garden Waste Charges – the revised forecast refle</w:t>
      </w:r>
      <w:r>
        <w:t xml:space="preserve">cts that the subscriptions in 2019/20 is higher than the last financial year.  </w:t>
      </w:r>
    </w:p>
    <w:p w14:paraId="533BD59B" w14:textId="77777777" w:rsidR="00C01C52" w:rsidRDefault="00F60FAA" w:rsidP="00C01C52">
      <w:pPr>
        <w:pStyle w:val="ListParagraph"/>
        <w:numPr>
          <w:ilvl w:val="1"/>
          <w:numId w:val="5"/>
        </w:numPr>
        <w:ind w:left="811" w:hanging="357"/>
      </w:pPr>
      <w:r>
        <w:t>Pre-Planning advice income – this was a new charge which has been introduced during 2018/19 but take-up is lower than originally forecast.</w:t>
      </w:r>
    </w:p>
    <w:p w14:paraId="533BD59C" w14:textId="77777777" w:rsidR="00C01C52" w:rsidRPr="00AC1B1C" w:rsidRDefault="00F60FAA" w:rsidP="00C01C52">
      <w:pPr>
        <w:pStyle w:val="ListParagraph"/>
        <w:numPr>
          <w:ilvl w:val="1"/>
          <w:numId w:val="5"/>
        </w:numPr>
        <w:ind w:left="811" w:hanging="357"/>
      </w:pPr>
      <w:r w:rsidRPr="00AC1B1C">
        <w:t>Investment Property rental – there is</w:t>
      </w:r>
      <w:r w:rsidRPr="00AC1B1C">
        <w:t xml:space="preserve"> a forecast shortfall against the budget due to vacancies in year (£17,000) and write-offs in relation to previous years (£9,000). </w:t>
      </w:r>
    </w:p>
    <w:p w14:paraId="533BD59D" w14:textId="77777777" w:rsidR="00C01C52" w:rsidRPr="00000C81" w:rsidRDefault="00F60FAA" w:rsidP="00C01C52">
      <w:pPr>
        <w:pStyle w:val="ListParagraph"/>
        <w:numPr>
          <w:ilvl w:val="1"/>
          <w:numId w:val="5"/>
        </w:numPr>
        <w:ind w:left="811" w:hanging="357"/>
      </w:pPr>
      <w:r w:rsidRPr="00000C81">
        <w:t>Vehicle Maintenance Contract – th</w:t>
      </w:r>
      <w:r>
        <w:t xml:space="preserve">is is </w:t>
      </w:r>
      <w:r w:rsidRPr="00000C81">
        <w:t>a ne</w:t>
      </w:r>
      <w:r>
        <w:t>w income stream a</w:t>
      </w:r>
      <w:r w:rsidRPr="00000C81">
        <w:t xml:space="preserve">s a result of the council securing the maintenance work for the </w:t>
      </w:r>
      <w:r w:rsidRPr="00000C81">
        <w:t xml:space="preserve">Chorley Council waste </w:t>
      </w:r>
      <w:r>
        <w:t xml:space="preserve">contractor </w:t>
      </w:r>
      <w:r w:rsidRPr="00000C81">
        <w:t>vehicles</w:t>
      </w:r>
      <w:r>
        <w:t>.</w:t>
      </w:r>
      <w:r w:rsidRPr="00000C81">
        <w:t xml:space="preserve">  </w:t>
      </w:r>
    </w:p>
    <w:p w14:paraId="533BD59E" w14:textId="77777777" w:rsidR="00C01C52" w:rsidRDefault="00F60FAA" w:rsidP="00C01C52"/>
    <w:p w14:paraId="533BD59F" w14:textId="77777777" w:rsidR="00C01C52" w:rsidRPr="00721E65" w:rsidRDefault="00F60FAA" w:rsidP="00C01C52">
      <w:pPr>
        <w:pStyle w:val="Heading2"/>
      </w:pPr>
      <w:r w:rsidRPr="00721E65">
        <w:t>Interest on Cash Investments</w:t>
      </w:r>
      <w:r w:rsidRPr="002C2140">
        <w:rPr>
          <w:noProof/>
        </w:rPr>
        <w:t xml:space="preserve"> </w:t>
      </w:r>
    </w:p>
    <w:p w14:paraId="533BD5A0" w14:textId="77777777" w:rsidR="00C01C52" w:rsidRDefault="00F60FAA" w:rsidP="00C01C52">
      <w:pPr>
        <w:pStyle w:val="ListParagraph"/>
      </w:pPr>
      <w:r>
        <w:t xml:space="preserve">The forecast for Short-term investment income has been revised to £320,000 to reflect increased balances and in line with interest earned in 2018/19 which out-turned at </w:t>
      </w:r>
      <w:r>
        <w:t>£302,500. This is an increase of £100,000 in the current estimate of £220,000.</w:t>
      </w:r>
    </w:p>
    <w:p w14:paraId="533BD5A1" w14:textId="77777777" w:rsidR="00C01C52" w:rsidRDefault="00F60FAA" w:rsidP="00C01C52">
      <w:pPr>
        <w:jc w:val="left"/>
      </w:pPr>
    </w:p>
    <w:p w14:paraId="533BD5A2" w14:textId="77777777" w:rsidR="00C01C52" w:rsidRDefault="00F60FAA" w:rsidP="00C01C52">
      <w:pPr>
        <w:pStyle w:val="ListParagraph"/>
        <w:jc w:val="left"/>
      </w:pPr>
      <w:r>
        <w:t>Return on investments and comparisons to the previous reporting period are set out below:</w:t>
      </w:r>
    </w:p>
    <w:p w14:paraId="533BD5A3" w14:textId="77777777" w:rsidR="00C01C52" w:rsidRDefault="00F60FAA" w:rsidP="00C01C52"/>
    <w:tbl>
      <w:tblPr>
        <w:tblW w:w="0" w:type="auto"/>
        <w:jc w:val="center"/>
        <w:tblCellMar>
          <w:left w:w="0" w:type="dxa"/>
          <w:right w:w="0" w:type="dxa"/>
        </w:tblCellMar>
        <w:tblLook w:val="04A0" w:firstRow="1" w:lastRow="0" w:firstColumn="1" w:lastColumn="0" w:noHBand="0" w:noVBand="1"/>
      </w:tblPr>
      <w:tblGrid>
        <w:gridCol w:w="1486"/>
        <w:gridCol w:w="2042"/>
        <w:gridCol w:w="1701"/>
        <w:gridCol w:w="1178"/>
        <w:gridCol w:w="1605"/>
      </w:tblGrid>
      <w:tr w:rsidR="002B7C48" w14:paraId="533BD5AC" w14:textId="77777777" w:rsidTr="00C01C52">
        <w:trPr>
          <w:trHeight w:val="697"/>
          <w:jc w:val="center"/>
        </w:trPr>
        <w:tc>
          <w:tcPr>
            <w:tcW w:w="148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3BD5A4" w14:textId="77777777" w:rsidR="00C01C52" w:rsidRDefault="00F60FAA">
            <w:pPr>
              <w:jc w:val="center"/>
            </w:pPr>
            <w:r>
              <w:rPr>
                <w:b/>
                <w:bCs/>
                <w:lang w:eastAsia="en-US"/>
              </w:rPr>
              <w:t>Year</w:t>
            </w:r>
          </w:p>
        </w:tc>
        <w:tc>
          <w:tcPr>
            <w:tcW w:w="204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3BD5A5" w14:textId="77777777" w:rsidR="00C01C52" w:rsidRDefault="00F60FAA">
            <w:pPr>
              <w:jc w:val="center"/>
            </w:pPr>
            <w:r>
              <w:rPr>
                <w:b/>
                <w:bCs/>
                <w:color w:val="000000"/>
                <w:lang w:eastAsia="en-US"/>
              </w:rPr>
              <w:t>Average Balance</w:t>
            </w:r>
          </w:p>
          <w:p w14:paraId="533BD5A6" w14:textId="77777777" w:rsidR="00C01C52" w:rsidRDefault="00F60FAA">
            <w:pPr>
              <w:jc w:val="center"/>
            </w:pPr>
            <w:r>
              <w:rPr>
                <w:b/>
                <w:bCs/>
                <w:color w:val="000000"/>
                <w:lang w:eastAsia="en-US"/>
              </w:rPr>
              <w:t>Periods 1 - 9</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3BD5A7" w14:textId="77777777" w:rsidR="00C01C52" w:rsidRDefault="00F60FAA">
            <w:pPr>
              <w:jc w:val="center"/>
            </w:pPr>
            <w:r>
              <w:rPr>
                <w:b/>
                <w:bCs/>
                <w:color w:val="000000"/>
                <w:lang w:eastAsia="en-US"/>
              </w:rPr>
              <w:t>Average Rate</w:t>
            </w:r>
          </w:p>
          <w:p w14:paraId="533BD5A8" w14:textId="77777777" w:rsidR="00C01C52" w:rsidRDefault="00F60FAA">
            <w:pPr>
              <w:jc w:val="center"/>
            </w:pPr>
            <w:r>
              <w:rPr>
                <w:b/>
                <w:bCs/>
                <w:color w:val="000000"/>
                <w:lang w:eastAsia="en-US"/>
              </w:rPr>
              <w:t>Periods 1- 9</w:t>
            </w:r>
          </w:p>
        </w:tc>
        <w:tc>
          <w:tcPr>
            <w:tcW w:w="117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3BD5A9" w14:textId="77777777" w:rsidR="00C01C52" w:rsidRDefault="00F60FAA">
            <w:pPr>
              <w:jc w:val="center"/>
            </w:pPr>
            <w:r>
              <w:rPr>
                <w:b/>
                <w:bCs/>
                <w:color w:val="000000"/>
                <w:lang w:eastAsia="en-US"/>
              </w:rPr>
              <w:t>No. of days</w:t>
            </w:r>
          </w:p>
        </w:tc>
        <w:tc>
          <w:tcPr>
            <w:tcW w:w="16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3BD5AA" w14:textId="77777777" w:rsidR="00C01C52" w:rsidRDefault="00F60FAA">
            <w:pPr>
              <w:jc w:val="center"/>
            </w:pPr>
            <w:r>
              <w:rPr>
                <w:b/>
                <w:bCs/>
                <w:color w:val="000000"/>
                <w:lang w:eastAsia="en-US"/>
              </w:rPr>
              <w:t>Interest</w:t>
            </w:r>
          </w:p>
          <w:p w14:paraId="533BD5AB" w14:textId="77777777" w:rsidR="00C01C52" w:rsidRDefault="00F60FAA">
            <w:pPr>
              <w:jc w:val="center"/>
            </w:pPr>
            <w:r>
              <w:rPr>
                <w:b/>
                <w:bCs/>
                <w:color w:val="000000"/>
                <w:lang w:eastAsia="en-US"/>
              </w:rPr>
              <w:t>Ear</w:t>
            </w:r>
            <w:r>
              <w:rPr>
                <w:b/>
                <w:bCs/>
                <w:color w:val="000000"/>
                <w:lang w:eastAsia="en-US"/>
              </w:rPr>
              <w:t xml:space="preserve">ned </w:t>
            </w:r>
          </w:p>
        </w:tc>
      </w:tr>
      <w:tr w:rsidR="002B7C48" w14:paraId="533BD5B2" w14:textId="77777777" w:rsidTr="00C01C52">
        <w:trPr>
          <w:trHeight w:val="454"/>
          <w:jc w:val="center"/>
        </w:trPr>
        <w:tc>
          <w:tcPr>
            <w:tcW w:w="1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BD5AD" w14:textId="77777777" w:rsidR="00C01C52" w:rsidRDefault="00F60FAA">
            <w:pPr>
              <w:jc w:val="center"/>
            </w:pPr>
            <w:r>
              <w:rPr>
                <w:lang w:eastAsia="en-US"/>
              </w:rPr>
              <w:t>2019/20</w:t>
            </w:r>
          </w:p>
        </w:tc>
        <w:tc>
          <w:tcPr>
            <w:tcW w:w="2042" w:type="dxa"/>
            <w:tcBorders>
              <w:top w:val="nil"/>
              <w:left w:val="nil"/>
              <w:bottom w:val="nil"/>
              <w:right w:val="single" w:sz="8" w:space="0" w:color="auto"/>
            </w:tcBorders>
            <w:tcMar>
              <w:top w:w="0" w:type="dxa"/>
              <w:left w:w="108" w:type="dxa"/>
              <w:bottom w:w="0" w:type="dxa"/>
              <w:right w:w="108" w:type="dxa"/>
            </w:tcMar>
            <w:vAlign w:val="center"/>
            <w:hideMark/>
          </w:tcPr>
          <w:p w14:paraId="533BD5AE" w14:textId="77777777" w:rsidR="00C01C52" w:rsidRDefault="00F60FAA">
            <w:pPr>
              <w:jc w:val="center"/>
            </w:pPr>
            <w:r>
              <w:rPr>
                <w:lang w:eastAsia="en-US"/>
              </w:rPr>
              <w:t>£ 41,902,681</w:t>
            </w:r>
          </w:p>
        </w:tc>
        <w:tc>
          <w:tcPr>
            <w:tcW w:w="1701" w:type="dxa"/>
            <w:tcBorders>
              <w:top w:val="nil"/>
              <w:left w:val="nil"/>
              <w:bottom w:val="nil"/>
              <w:right w:val="single" w:sz="8" w:space="0" w:color="auto"/>
            </w:tcBorders>
            <w:tcMar>
              <w:top w:w="0" w:type="dxa"/>
              <w:left w:w="108" w:type="dxa"/>
              <w:bottom w:w="0" w:type="dxa"/>
              <w:right w:w="108" w:type="dxa"/>
            </w:tcMar>
            <w:vAlign w:val="center"/>
            <w:hideMark/>
          </w:tcPr>
          <w:p w14:paraId="533BD5AF" w14:textId="77777777" w:rsidR="00C01C52" w:rsidRDefault="00F60FAA">
            <w:pPr>
              <w:jc w:val="center"/>
            </w:pPr>
            <w:r>
              <w:rPr>
                <w:lang w:eastAsia="en-US"/>
              </w:rPr>
              <w:t>0.894%</w:t>
            </w:r>
          </w:p>
        </w:tc>
        <w:tc>
          <w:tcPr>
            <w:tcW w:w="1178" w:type="dxa"/>
            <w:tcBorders>
              <w:top w:val="nil"/>
              <w:left w:val="nil"/>
              <w:bottom w:val="nil"/>
              <w:right w:val="single" w:sz="8" w:space="0" w:color="auto"/>
            </w:tcBorders>
            <w:tcMar>
              <w:top w:w="0" w:type="dxa"/>
              <w:left w:w="108" w:type="dxa"/>
              <w:bottom w:w="0" w:type="dxa"/>
              <w:right w:w="108" w:type="dxa"/>
            </w:tcMar>
            <w:vAlign w:val="center"/>
            <w:hideMark/>
          </w:tcPr>
          <w:p w14:paraId="533BD5B0" w14:textId="77777777" w:rsidR="00C01C52" w:rsidRDefault="00F60FAA">
            <w:pPr>
              <w:jc w:val="center"/>
            </w:pPr>
            <w:r>
              <w:rPr>
                <w:lang w:eastAsia="en-US"/>
              </w:rPr>
              <w:t>276/366</w:t>
            </w:r>
          </w:p>
        </w:tc>
        <w:tc>
          <w:tcPr>
            <w:tcW w:w="1605" w:type="dxa"/>
            <w:tcBorders>
              <w:top w:val="nil"/>
              <w:left w:val="nil"/>
              <w:bottom w:val="nil"/>
              <w:right w:val="single" w:sz="8" w:space="0" w:color="auto"/>
            </w:tcBorders>
            <w:tcMar>
              <w:top w:w="0" w:type="dxa"/>
              <w:left w:w="108" w:type="dxa"/>
              <w:bottom w:w="0" w:type="dxa"/>
              <w:right w:w="108" w:type="dxa"/>
            </w:tcMar>
            <w:vAlign w:val="center"/>
            <w:hideMark/>
          </w:tcPr>
          <w:p w14:paraId="533BD5B1" w14:textId="77777777" w:rsidR="00C01C52" w:rsidRDefault="00F60FAA">
            <w:pPr>
              <w:jc w:val="center"/>
            </w:pPr>
            <w:r>
              <w:rPr>
                <w:lang w:eastAsia="en-US"/>
              </w:rPr>
              <w:t>£283,163</w:t>
            </w:r>
          </w:p>
        </w:tc>
      </w:tr>
      <w:tr w:rsidR="002B7C48" w14:paraId="533BD5B8" w14:textId="77777777" w:rsidTr="00C01C52">
        <w:trPr>
          <w:trHeight w:val="454"/>
          <w:jc w:val="center"/>
        </w:trPr>
        <w:tc>
          <w:tcPr>
            <w:tcW w:w="14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3BD5B3" w14:textId="77777777" w:rsidR="00C01C52" w:rsidRDefault="00F60FAA">
            <w:pPr>
              <w:jc w:val="center"/>
            </w:pPr>
            <w:r>
              <w:rPr>
                <w:lang w:eastAsia="en-US"/>
              </w:rPr>
              <w:t>2018/19</w:t>
            </w:r>
          </w:p>
        </w:tc>
        <w:tc>
          <w:tcPr>
            <w:tcW w:w="20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BD5B4" w14:textId="77777777" w:rsidR="00C01C52" w:rsidRDefault="00F60FAA">
            <w:pPr>
              <w:jc w:val="center"/>
            </w:pPr>
            <w:r>
              <w:rPr>
                <w:color w:val="000000"/>
                <w:lang w:eastAsia="en-US"/>
              </w:rPr>
              <w:t>£</w:t>
            </w:r>
            <w:r>
              <w:rPr>
                <w:lang w:eastAsia="en-US"/>
              </w:rPr>
              <w:t>39,197,067</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BD5B5" w14:textId="77777777" w:rsidR="00C01C52" w:rsidRDefault="00F60FAA">
            <w:pPr>
              <w:jc w:val="center"/>
            </w:pPr>
            <w:r>
              <w:rPr>
                <w:lang w:eastAsia="en-US"/>
              </w:rPr>
              <w:t>0.706</w:t>
            </w:r>
            <w:r>
              <w:rPr>
                <w:color w:val="000000"/>
                <w:lang w:eastAsia="en-US"/>
              </w:rPr>
              <w:t>%</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BD5B6" w14:textId="77777777" w:rsidR="00C01C52" w:rsidRDefault="00F60FAA">
            <w:pPr>
              <w:jc w:val="center"/>
            </w:pPr>
            <w:r>
              <w:rPr>
                <w:lang w:eastAsia="en-US"/>
              </w:rPr>
              <w:t>276</w:t>
            </w:r>
            <w:r>
              <w:rPr>
                <w:color w:val="000000"/>
                <w:lang w:eastAsia="en-US"/>
              </w:rPr>
              <w:t>/365</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3BD5B7" w14:textId="77777777" w:rsidR="00C01C52" w:rsidRDefault="00F60FAA">
            <w:pPr>
              <w:jc w:val="center"/>
            </w:pPr>
            <w:r>
              <w:rPr>
                <w:color w:val="000000"/>
                <w:lang w:eastAsia="en-US"/>
              </w:rPr>
              <w:t>£</w:t>
            </w:r>
            <w:r>
              <w:rPr>
                <w:lang w:eastAsia="en-US"/>
              </w:rPr>
              <w:t>208,551</w:t>
            </w:r>
          </w:p>
        </w:tc>
      </w:tr>
    </w:tbl>
    <w:p w14:paraId="533BD5B9" w14:textId="77777777" w:rsidR="00C01C52" w:rsidRDefault="00F60FAA" w:rsidP="00C01C52"/>
    <w:p w14:paraId="533BD5BA" w14:textId="77777777" w:rsidR="00C01C52" w:rsidRDefault="00F60FAA" w:rsidP="00C01C52">
      <w:pPr>
        <w:ind w:left="357"/>
      </w:pPr>
    </w:p>
    <w:p w14:paraId="533BD5BB" w14:textId="77777777" w:rsidR="00C01C52" w:rsidRDefault="00F60FAA" w:rsidP="00C01C52">
      <w:pPr>
        <w:pStyle w:val="ListParagraph"/>
      </w:pPr>
      <w:r w:rsidRPr="00380817">
        <w:t xml:space="preserve">The average return </w:t>
      </w:r>
      <w:r>
        <w:t xml:space="preserve">of 0.89% </w:t>
      </w:r>
      <w:r w:rsidRPr="00380817">
        <w:t xml:space="preserve">achieved over the </w:t>
      </w:r>
      <w:r>
        <w:t xml:space="preserve">first six months of the financial year represents a significant increase on the 0.71% achieved in the corresponding period in 2018/19. This reflects the same trend as was seen in the previously reported results for the </w:t>
      </w:r>
      <w:r w:rsidRPr="00380817">
        <w:t xml:space="preserve">full year </w:t>
      </w:r>
      <w:r>
        <w:t xml:space="preserve">in </w:t>
      </w:r>
      <w:r w:rsidRPr="00380817">
        <w:t>2018/19</w:t>
      </w:r>
      <w:r>
        <w:t>, where the avera</w:t>
      </w:r>
      <w:r>
        <w:t>ge rate achieved</w:t>
      </w:r>
      <w:r w:rsidRPr="00380817">
        <w:t xml:space="preserve"> was 0.76%</w:t>
      </w:r>
      <w:r>
        <w:t>, compared to 0.49%</w:t>
      </w:r>
      <w:r w:rsidRPr="00380817">
        <w:t xml:space="preserve"> in 2017/18. The </w:t>
      </w:r>
      <w:r>
        <w:t xml:space="preserve">key element in producing the increased returns is that the </w:t>
      </w:r>
      <w:r w:rsidRPr="00380817">
        <w:t>Bank</w:t>
      </w:r>
      <w:r>
        <w:t xml:space="preserve"> of England Base</w:t>
      </w:r>
      <w:r w:rsidRPr="00380817">
        <w:t xml:space="preserve"> Rate was increased from 0.50% to 0.75% in August 2018</w:t>
      </w:r>
      <w:r>
        <w:t xml:space="preserve"> and has remained at this level since</w:t>
      </w:r>
      <w:r w:rsidRPr="00380817">
        <w:t>.</w:t>
      </w:r>
      <w:r>
        <w:t xml:space="preserve"> This position is consi</w:t>
      </w:r>
      <w:r>
        <w:t xml:space="preserve">stent to date with the forecasts made in the Council’s approved Treasury Management Strategy for 2019/20. Those forecasts did envisage a further rise in the Base Rate, to 1.00%, in the second half of the year. The likelihood of this rise has been affected </w:t>
      </w:r>
      <w:r>
        <w:t>by the impact of continuing domestic political and economic uncertainty.</w:t>
      </w:r>
    </w:p>
    <w:p w14:paraId="533BD5BC" w14:textId="77777777" w:rsidR="00C01C52" w:rsidRDefault="00F60FAA" w:rsidP="00C01C52"/>
    <w:p w14:paraId="533BD5BD" w14:textId="77777777" w:rsidR="00C01C52" w:rsidRDefault="00F60FAA" w:rsidP="00C01C52"/>
    <w:p w14:paraId="533BD5BE" w14:textId="77777777" w:rsidR="00C01C52" w:rsidRDefault="00F60FAA" w:rsidP="00C01C52"/>
    <w:p w14:paraId="533BD5BF" w14:textId="77777777" w:rsidR="00C01C52" w:rsidRPr="00C45617" w:rsidRDefault="00F60FAA" w:rsidP="00C01C52">
      <w:pPr>
        <w:pStyle w:val="Heading2"/>
      </w:pPr>
      <w:r w:rsidRPr="00C45617">
        <w:lastRenderedPageBreak/>
        <w:t>Reserves</w:t>
      </w:r>
    </w:p>
    <w:p w14:paraId="533BD5C0" w14:textId="77777777" w:rsidR="00C01C52" w:rsidRPr="00D16B9B" w:rsidRDefault="00F60FAA" w:rsidP="00C01C52">
      <w:pPr>
        <w:pStyle w:val="ListParagraph"/>
        <w:rPr>
          <w:b/>
        </w:rPr>
      </w:pPr>
      <w:r>
        <w:t>The total balance on reserves at the beginning of the financial year was £19.519m. The forecast underspend in the year provides an opportunity to set aside funding of £150</w:t>
      </w:r>
      <w:r>
        <w:t xml:space="preserve">,000 for a South </w:t>
      </w:r>
      <w:proofErr w:type="spellStart"/>
      <w:r>
        <w:t>Ribble</w:t>
      </w:r>
      <w:proofErr w:type="spellEnd"/>
      <w:r>
        <w:t xml:space="preserve"> Credit Union. </w:t>
      </w:r>
    </w:p>
    <w:p w14:paraId="533BD5C1" w14:textId="77777777" w:rsidR="00C01C52" w:rsidRDefault="00F60FAA" w:rsidP="00C01C52">
      <w:pPr>
        <w:pStyle w:val="ListParagraph"/>
      </w:pPr>
      <w:r>
        <w:t>Table 4 below shows the forecasted movements on the reserves for 2019-20.</w:t>
      </w:r>
    </w:p>
    <w:p w14:paraId="533BD5C2" w14:textId="77777777" w:rsidR="00C01C52" w:rsidRDefault="00F60FAA" w:rsidP="00C01C52">
      <w:pPr>
        <w:pStyle w:val="Heading3"/>
      </w:pPr>
    </w:p>
    <w:p w14:paraId="533BD5C3" w14:textId="77777777" w:rsidR="00C01C52" w:rsidRDefault="00F60FAA" w:rsidP="00C01C52">
      <w:pPr>
        <w:pStyle w:val="Heading3"/>
      </w:pPr>
      <w:r>
        <w:t>Table 4: Reserves Summary</w:t>
      </w:r>
    </w:p>
    <w:p w14:paraId="533BD5C4" w14:textId="77777777" w:rsidR="00C01C52" w:rsidRDefault="00F60FAA" w:rsidP="00C01C52"/>
    <w:tbl>
      <w:tblPr>
        <w:tblW w:w="9733" w:type="dxa"/>
        <w:tblInd w:w="421"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81"/>
        <w:gridCol w:w="1223"/>
        <w:gridCol w:w="1223"/>
        <w:gridCol w:w="1223"/>
        <w:gridCol w:w="1223"/>
        <w:gridCol w:w="1460"/>
      </w:tblGrid>
      <w:tr w:rsidR="002B7C48" w14:paraId="533BD5D0" w14:textId="77777777" w:rsidTr="00C01C52">
        <w:trPr>
          <w:trHeight w:val="397"/>
        </w:trPr>
        <w:tc>
          <w:tcPr>
            <w:tcW w:w="3381" w:type="dxa"/>
            <w:tcBorders>
              <w:top w:val="single" w:sz="4" w:space="0" w:color="auto"/>
              <w:left w:val="single" w:sz="4" w:space="0" w:color="auto"/>
              <w:bottom w:val="single" w:sz="4" w:space="0" w:color="auto"/>
            </w:tcBorders>
            <w:shd w:val="clear" w:color="000000" w:fill="D9D9D9" w:themeFill="background1" w:themeFillShade="D9"/>
            <w:noWrap/>
            <w:vAlign w:val="center"/>
            <w:hideMark/>
          </w:tcPr>
          <w:p w14:paraId="533BD5C5" w14:textId="77777777" w:rsidR="00C01C52" w:rsidRPr="008B1E18" w:rsidRDefault="00F60FAA" w:rsidP="00C01C52">
            <w:pPr>
              <w:spacing w:line="240" w:lineRule="auto"/>
              <w:jc w:val="left"/>
              <w:rPr>
                <w:rFonts w:cs="Arial"/>
                <w:b/>
                <w:bCs/>
                <w:szCs w:val="22"/>
              </w:rPr>
            </w:pPr>
            <w:r w:rsidRPr="008B1E18">
              <w:rPr>
                <w:rFonts w:cs="Arial"/>
                <w:b/>
                <w:bCs/>
                <w:szCs w:val="22"/>
              </w:rPr>
              <w:t>Reserve Name</w:t>
            </w:r>
          </w:p>
        </w:tc>
        <w:tc>
          <w:tcPr>
            <w:tcW w:w="1223" w:type="dxa"/>
            <w:tcBorders>
              <w:top w:val="single" w:sz="4" w:space="0" w:color="auto"/>
              <w:bottom w:val="single" w:sz="4" w:space="0" w:color="auto"/>
            </w:tcBorders>
            <w:shd w:val="clear" w:color="000000" w:fill="D9D9D9" w:themeFill="background1" w:themeFillShade="D9"/>
            <w:tcMar>
              <w:left w:w="57" w:type="dxa"/>
              <w:right w:w="57" w:type="dxa"/>
            </w:tcMar>
            <w:vAlign w:val="center"/>
            <w:hideMark/>
          </w:tcPr>
          <w:p w14:paraId="533BD5C6" w14:textId="77777777" w:rsidR="00C01C52" w:rsidRPr="008B1E18" w:rsidRDefault="00F60FAA" w:rsidP="00C01C52">
            <w:pPr>
              <w:spacing w:line="240" w:lineRule="auto"/>
              <w:jc w:val="center"/>
              <w:rPr>
                <w:rFonts w:cs="Arial"/>
                <w:b/>
                <w:bCs/>
                <w:szCs w:val="22"/>
              </w:rPr>
            </w:pPr>
            <w:r w:rsidRPr="008B1E18">
              <w:rPr>
                <w:rFonts w:cs="Arial"/>
                <w:b/>
                <w:bCs/>
                <w:szCs w:val="22"/>
              </w:rPr>
              <w:t>Opening Balance</w:t>
            </w:r>
          </w:p>
          <w:p w14:paraId="533BD5C7" w14:textId="77777777" w:rsidR="00C01C52" w:rsidRPr="008B1E18" w:rsidRDefault="00F60FAA" w:rsidP="00C01C52">
            <w:pPr>
              <w:spacing w:line="240" w:lineRule="auto"/>
              <w:jc w:val="center"/>
              <w:rPr>
                <w:rFonts w:cs="Arial"/>
                <w:b/>
                <w:bCs/>
                <w:szCs w:val="22"/>
              </w:rPr>
            </w:pPr>
            <w:r w:rsidRPr="008B1E18">
              <w:rPr>
                <w:rFonts w:cs="Arial"/>
                <w:b/>
                <w:bCs/>
                <w:szCs w:val="22"/>
              </w:rPr>
              <w:t>£’000</w:t>
            </w:r>
          </w:p>
        </w:tc>
        <w:tc>
          <w:tcPr>
            <w:tcW w:w="1223" w:type="dxa"/>
            <w:tcBorders>
              <w:top w:val="single" w:sz="4" w:space="0" w:color="auto"/>
              <w:bottom w:val="single" w:sz="4" w:space="0" w:color="auto"/>
            </w:tcBorders>
            <w:shd w:val="clear" w:color="000000" w:fill="D9D9D9" w:themeFill="background1" w:themeFillShade="D9"/>
            <w:tcMar>
              <w:left w:w="57" w:type="dxa"/>
              <w:right w:w="57" w:type="dxa"/>
            </w:tcMar>
            <w:vAlign w:val="center"/>
            <w:hideMark/>
          </w:tcPr>
          <w:p w14:paraId="533BD5C8" w14:textId="77777777" w:rsidR="00C01C52" w:rsidRPr="008B1E18" w:rsidRDefault="00F60FAA" w:rsidP="00C01C52">
            <w:pPr>
              <w:spacing w:line="240" w:lineRule="auto"/>
              <w:jc w:val="center"/>
              <w:rPr>
                <w:rFonts w:cs="Arial"/>
                <w:b/>
                <w:bCs/>
                <w:szCs w:val="22"/>
              </w:rPr>
            </w:pPr>
            <w:r w:rsidRPr="008B1E18">
              <w:rPr>
                <w:rFonts w:cs="Arial"/>
                <w:b/>
                <w:bCs/>
                <w:szCs w:val="22"/>
              </w:rPr>
              <w:t>Transfers In</w:t>
            </w:r>
          </w:p>
          <w:p w14:paraId="533BD5C9" w14:textId="77777777" w:rsidR="00C01C52" w:rsidRPr="008B1E18" w:rsidRDefault="00F60FAA" w:rsidP="00C01C52">
            <w:pPr>
              <w:spacing w:line="240" w:lineRule="auto"/>
              <w:jc w:val="center"/>
              <w:rPr>
                <w:rFonts w:cs="Arial"/>
                <w:b/>
                <w:bCs/>
                <w:szCs w:val="22"/>
              </w:rPr>
            </w:pPr>
            <w:r w:rsidRPr="008B1E18">
              <w:rPr>
                <w:rFonts w:cs="Arial"/>
                <w:b/>
                <w:bCs/>
                <w:szCs w:val="22"/>
              </w:rPr>
              <w:t>£’000</w:t>
            </w:r>
          </w:p>
        </w:tc>
        <w:tc>
          <w:tcPr>
            <w:tcW w:w="1223" w:type="dxa"/>
            <w:tcBorders>
              <w:top w:val="single" w:sz="4" w:space="0" w:color="auto"/>
              <w:bottom w:val="single" w:sz="4" w:space="0" w:color="auto"/>
            </w:tcBorders>
            <w:shd w:val="clear" w:color="000000" w:fill="D9D9D9" w:themeFill="background1" w:themeFillShade="D9"/>
            <w:tcMar>
              <w:left w:w="57" w:type="dxa"/>
              <w:right w:w="57" w:type="dxa"/>
            </w:tcMar>
            <w:vAlign w:val="center"/>
            <w:hideMark/>
          </w:tcPr>
          <w:p w14:paraId="533BD5CA" w14:textId="77777777" w:rsidR="00C01C52" w:rsidRPr="008B1E18" w:rsidRDefault="00F60FAA" w:rsidP="00C01C52">
            <w:pPr>
              <w:spacing w:line="240" w:lineRule="auto"/>
              <w:jc w:val="center"/>
              <w:rPr>
                <w:rFonts w:cs="Arial"/>
                <w:b/>
                <w:bCs/>
                <w:szCs w:val="22"/>
              </w:rPr>
            </w:pPr>
            <w:r w:rsidRPr="008B1E18">
              <w:rPr>
                <w:rFonts w:cs="Arial"/>
                <w:b/>
                <w:bCs/>
                <w:szCs w:val="22"/>
              </w:rPr>
              <w:t>Transfers Out</w:t>
            </w:r>
          </w:p>
          <w:p w14:paraId="533BD5CB" w14:textId="77777777" w:rsidR="00C01C52" w:rsidRPr="008B1E18" w:rsidRDefault="00F60FAA" w:rsidP="00C01C52">
            <w:pPr>
              <w:spacing w:line="240" w:lineRule="auto"/>
              <w:jc w:val="center"/>
              <w:rPr>
                <w:rFonts w:cs="Arial"/>
                <w:b/>
                <w:bCs/>
                <w:szCs w:val="22"/>
              </w:rPr>
            </w:pPr>
            <w:r w:rsidRPr="008B1E18">
              <w:rPr>
                <w:rFonts w:cs="Arial"/>
                <w:b/>
                <w:bCs/>
                <w:szCs w:val="22"/>
              </w:rPr>
              <w:t>£’000</w:t>
            </w:r>
          </w:p>
        </w:tc>
        <w:tc>
          <w:tcPr>
            <w:tcW w:w="1223" w:type="dxa"/>
            <w:tcBorders>
              <w:top w:val="single" w:sz="4" w:space="0" w:color="auto"/>
              <w:bottom w:val="single" w:sz="4" w:space="0" w:color="auto"/>
            </w:tcBorders>
            <w:shd w:val="clear" w:color="000000" w:fill="D9D9D9" w:themeFill="background1" w:themeFillShade="D9"/>
            <w:tcMar>
              <w:left w:w="57" w:type="dxa"/>
              <w:right w:w="57" w:type="dxa"/>
            </w:tcMar>
            <w:vAlign w:val="center"/>
            <w:hideMark/>
          </w:tcPr>
          <w:p w14:paraId="533BD5CC" w14:textId="77777777" w:rsidR="00C01C52" w:rsidRPr="008B1E18" w:rsidRDefault="00F60FAA" w:rsidP="00C01C52">
            <w:pPr>
              <w:spacing w:line="240" w:lineRule="auto"/>
              <w:jc w:val="center"/>
              <w:rPr>
                <w:rFonts w:cs="Arial"/>
                <w:b/>
                <w:bCs/>
                <w:szCs w:val="22"/>
              </w:rPr>
            </w:pPr>
            <w:r w:rsidRPr="008B1E18">
              <w:rPr>
                <w:rFonts w:cs="Arial"/>
                <w:b/>
                <w:bCs/>
                <w:szCs w:val="22"/>
              </w:rPr>
              <w:t>Capital Financing</w:t>
            </w:r>
          </w:p>
          <w:p w14:paraId="533BD5CD" w14:textId="77777777" w:rsidR="00C01C52" w:rsidRPr="008B1E18" w:rsidRDefault="00F60FAA" w:rsidP="00C01C52">
            <w:pPr>
              <w:spacing w:line="240" w:lineRule="auto"/>
              <w:jc w:val="center"/>
              <w:rPr>
                <w:rFonts w:cs="Arial"/>
                <w:b/>
                <w:bCs/>
                <w:szCs w:val="22"/>
              </w:rPr>
            </w:pPr>
            <w:r w:rsidRPr="008B1E18">
              <w:rPr>
                <w:rFonts w:cs="Arial"/>
                <w:b/>
                <w:bCs/>
                <w:szCs w:val="22"/>
              </w:rPr>
              <w:t>£’000</w:t>
            </w:r>
          </w:p>
        </w:tc>
        <w:tc>
          <w:tcPr>
            <w:tcW w:w="1460" w:type="dxa"/>
            <w:tcBorders>
              <w:top w:val="single" w:sz="4" w:space="0" w:color="auto"/>
              <w:bottom w:val="single" w:sz="4" w:space="0" w:color="auto"/>
              <w:right w:val="single" w:sz="4" w:space="0" w:color="auto"/>
            </w:tcBorders>
            <w:shd w:val="clear" w:color="000000" w:fill="D9D9D9" w:themeFill="background1" w:themeFillShade="D9"/>
            <w:tcMar>
              <w:left w:w="57" w:type="dxa"/>
              <w:right w:w="57" w:type="dxa"/>
            </w:tcMar>
            <w:vAlign w:val="center"/>
            <w:hideMark/>
          </w:tcPr>
          <w:p w14:paraId="533BD5CE" w14:textId="77777777" w:rsidR="00C01C52" w:rsidRPr="008B1E18" w:rsidRDefault="00F60FAA" w:rsidP="00C01C52">
            <w:pPr>
              <w:spacing w:line="240" w:lineRule="auto"/>
              <w:jc w:val="center"/>
              <w:rPr>
                <w:rFonts w:cs="Arial"/>
                <w:b/>
                <w:bCs/>
                <w:szCs w:val="22"/>
              </w:rPr>
            </w:pPr>
            <w:r w:rsidRPr="008B1E18">
              <w:rPr>
                <w:rFonts w:cs="Arial"/>
                <w:b/>
                <w:bCs/>
                <w:szCs w:val="22"/>
              </w:rPr>
              <w:t xml:space="preserve">Closing </w:t>
            </w:r>
            <w:r w:rsidRPr="008B1E18">
              <w:rPr>
                <w:rFonts w:cs="Arial"/>
                <w:b/>
                <w:bCs/>
                <w:szCs w:val="22"/>
              </w:rPr>
              <w:t>Balance</w:t>
            </w:r>
          </w:p>
          <w:p w14:paraId="533BD5CF" w14:textId="77777777" w:rsidR="00C01C52" w:rsidRPr="008B1E18" w:rsidRDefault="00F60FAA" w:rsidP="00C01C52">
            <w:pPr>
              <w:spacing w:line="240" w:lineRule="auto"/>
              <w:jc w:val="center"/>
              <w:rPr>
                <w:rFonts w:cs="Arial"/>
                <w:b/>
                <w:bCs/>
                <w:szCs w:val="22"/>
              </w:rPr>
            </w:pPr>
            <w:r w:rsidRPr="008B1E18">
              <w:rPr>
                <w:rFonts w:cs="Arial"/>
                <w:b/>
                <w:bCs/>
                <w:szCs w:val="22"/>
              </w:rPr>
              <w:t>£’000</w:t>
            </w:r>
          </w:p>
        </w:tc>
      </w:tr>
      <w:tr w:rsidR="002B7C48" w14:paraId="533BD5D7" w14:textId="77777777" w:rsidTr="00C01C52">
        <w:trPr>
          <w:trHeight w:val="397"/>
        </w:trPr>
        <w:tc>
          <w:tcPr>
            <w:tcW w:w="3381" w:type="dxa"/>
            <w:tcBorders>
              <w:top w:val="single" w:sz="4" w:space="0" w:color="auto"/>
            </w:tcBorders>
            <w:shd w:val="clear" w:color="auto" w:fill="auto"/>
            <w:noWrap/>
            <w:vAlign w:val="center"/>
            <w:hideMark/>
          </w:tcPr>
          <w:p w14:paraId="533BD5D1" w14:textId="77777777" w:rsidR="00C01C52" w:rsidRPr="00571449" w:rsidRDefault="00F60FAA" w:rsidP="00C01C52">
            <w:pPr>
              <w:spacing w:line="240" w:lineRule="auto"/>
              <w:jc w:val="left"/>
              <w:rPr>
                <w:rFonts w:cs="Arial"/>
                <w:b/>
                <w:bCs/>
                <w:color w:val="000000"/>
                <w:szCs w:val="22"/>
              </w:rPr>
            </w:pPr>
            <w:r w:rsidRPr="00571449">
              <w:rPr>
                <w:rFonts w:cs="Arial"/>
                <w:b/>
                <w:bCs/>
                <w:color w:val="000000"/>
                <w:szCs w:val="22"/>
              </w:rPr>
              <w:t>Earmarked Reserves</w:t>
            </w:r>
          </w:p>
        </w:tc>
        <w:tc>
          <w:tcPr>
            <w:tcW w:w="1223" w:type="dxa"/>
            <w:tcBorders>
              <w:top w:val="single" w:sz="4" w:space="0" w:color="auto"/>
            </w:tcBorders>
            <w:shd w:val="clear" w:color="auto" w:fill="auto"/>
            <w:noWrap/>
            <w:tcMar>
              <w:right w:w="170" w:type="dxa"/>
            </w:tcMar>
            <w:vAlign w:val="center"/>
          </w:tcPr>
          <w:p w14:paraId="533BD5D2" w14:textId="77777777" w:rsidR="00C01C52" w:rsidRPr="00571449" w:rsidRDefault="00F60FAA" w:rsidP="00C01C52">
            <w:pPr>
              <w:spacing w:line="240" w:lineRule="auto"/>
              <w:jc w:val="right"/>
              <w:rPr>
                <w:rFonts w:cs="Arial"/>
                <w:szCs w:val="22"/>
              </w:rPr>
            </w:pPr>
          </w:p>
        </w:tc>
        <w:tc>
          <w:tcPr>
            <w:tcW w:w="1223" w:type="dxa"/>
            <w:tcBorders>
              <w:top w:val="single" w:sz="4" w:space="0" w:color="auto"/>
            </w:tcBorders>
            <w:shd w:val="clear" w:color="auto" w:fill="auto"/>
            <w:noWrap/>
            <w:tcMar>
              <w:right w:w="170" w:type="dxa"/>
            </w:tcMar>
            <w:vAlign w:val="center"/>
          </w:tcPr>
          <w:p w14:paraId="533BD5D3" w14:textId="77777777" w:rsidR="00C01C52" w:rsidRPr="00571449" w:rsidRDefault="00F60FAA" w:rsidP="00C01C52">
            <w:pPr>
              <w:spacing w:line="240" w:lineRule="auto"/>
              <w:jc w:val="right"/>
              <w:rPr>
                <w:rFonts w:cs="Arial"/>
                <w:szCs w:val="22"/>
              </w:rPr>
            </w:pPr>
          </w:p>
        </w:tc>
        <w:tc>
          <w:tcPr>
            <w:tcW w:w="1223" w:type="dxa"/>
            <w:tcBorders>
              <w:top w:val="single" w:sz="4" w:space="0" w:color="auto"/>
            </w:tcBorders>
            <w:shd w:val="clear" w:color="auto" w:fill="auto"/>
            <w:noWrap/>
            <w:tcMar>
              <w:right w:w="170" w:type="dxa"/>
            </w:tcMar>
            <w:vAlign w:val="center"/>
          </w:tcPr>
          <w:p w14:paraId="533BD5D4" w14:textId="77777777" w:rsidR="00C01C52" w:rsidRPr="00571449" w:rsidRDefault="00F60FAA" w:rsidP="00C01C52">
            <w:pPr>
              <w:spacing w:line="240" w:lineRule="auto"/>
              <w:jc w:val="right"/>
              <w:rPr>
                <w:rFonts w:cs="Arial"/>
                <w:szCs w:val="22"/>
              </w:rPr>
            </w:pPr>
          </w:p>
        </w:tc>
        <w:tc>
          <w:tcPr>
            <w:tcW w:w="1223" w:type="dxa"/>
            <w:tcBorders>
              <w:top w:val="single" w:sz="4" w:space="0" w:color="auto"/>
            </w:tcBorders>
            <w:shd w:val="clear" w:color="auto" w:fill="auto"/>
            <w:noWrap/>
            <w:tcMar>
              <w:right w:w="170" w:type="dxa"/>
            </w:tcMar>
            <w:vAlign w:val="center"/>
          </w:tcPr>
          <w:p w14:paraId="533BD5D5" w14:textId="77777777" w:rsidR="00C01C52" w:rsidRPr="00E661A8" w:rsidRDefault="00F60FAA" w:rsidP="00C01C52">
            <w:pPr>
              <w:spacing w:line="240" w:lineRule="auto"/>
              <w:jc w:val="right"/>
              <w:rPr>
                <w:rFonts w:cs="Arial"/>
                <w:color w:val="FF0000"/>
                <w:szCs w:val="22"/>
              </w:rPr>
            </w:pPr>
          </w:p>
        </w:tc>
        <w:tc>
          <w:tcPr>
            <w:tcW w:w="1460" w:type="dxa"/>
            <w:tcBorders>
              <w:top w:val="single" w:sz="4" w:space="0" w:color="auto"/>
            </w:tcBorders>
            <w:shd w:val="clear" w:color="auto" w:fill="auto"/>
            <w:noWrap/>
            <w:tcMar>
              <w:right w:w="170" w:type="dxa"/>
            </w:tcMar>
            <w:vAlign w:val="center"/>
          </w:tcPr>
          <w:p w14:paraId="533BD5D6" w14:textId="77777777" w:rsidR="00C01C52" w:rsidRPr="00E661A8" w:rsidRDefault="00F60FAA" w:rsidP="00C01C52">
            <w:pPr>
              <w:spacing w:line="240" w:lineRule="auto"/>
              <w:jc w:val="right"/>
              <w:rPr>
                <w:rFonts w:cs="Arial"/>
                <w:color w:val="FF0000"/>
                <w:szCs w:val="22"/>
              </w:rPr>
            </w:pPr>
          </w:p>
        </w:tc>
      </w:tr>
      <w:tr w:rsidR="002B7C48" w14:paraId="533BD5DE" w14:textId="77777777" w:rsidTr="00C01C52">
        <w:trPr>
          <w:trHeight w:val="397"/>
        </w:trPr>
        <w:tc>
          <w:tcPr>
            <w:tcW w:w="3381" w:type="dxa"/>
            <w:shd w:val="clear" w:color="auto" w:fill="auto"/>
            <w:noWrap/>
            <w:vAlign w:val="center"/>
            <w:hideMark/>
          </w:tcPr>
          <w:p w14:paraId="533BD5D8" w14:textId="77777777" w:rsidR="00C01C52" w:rsidRPr="00571449" w:rsidRDefault="00F60FAA" w:rsidP="00C01C52">
            <w:pPr>
              <w:spacing w:line="240" w:lineRule="auto"/>
              <w:jc w:val="left"/>
              <w:rPr>
                <w:rFonts w:cs="Arial"/>
                <w:szCs w:val="22"/>
              </w:rPr>
            </w:pPr>
            <w:r w:rsidRPr="00571449">
              <w:rPr>
                <w:rFonts w:cs="Arial"/>
                <w:szCs w:val="22"/>
              </w:rPr>
              <w:t>My Neighbourhoods</w:t>
            </w:r>
          </w:p>
        </w:tc>
        <w:tc>
          <w:tcPr>
            <w:tcW w:w="1223" w:type="dxa"/>
            <w:shd w:val="clear" w:color="auto" w:fill="auto"/>
            <w:noWrap/>
            <w:tcMar>
              <w:right w:w="170" w:type="dxa"/>
            </w:tcMar>
            <w:vAlign w:val="center"/>
            <w:hideMark/>
          </w:tcPr>
          <w:p w14:paraId="533BD5D9" w14:textId="77777777" w:rsidR="00C01C52" w:rsidRPr="00571449" w:rsidRDefault="00F60FAA" w:rsidP="00C01C52">
            <w:pPr>
              <w:spacing w:line="240" w:lineRule="auto"/>
              <w:jc w:val="right"/>
              <w:rPr>
                <w:rFonts w:cs="Arial"/>
                <w:szCs w:val="22"/>
              </w:rPr>
            </w:pPr>
            <w:r w:rsidRPr="00571449">
              <w:rPr>
                <w:rFonts w:cs="Arial"/>
                <w:szCs w:val="22"/>
              </w:rPr>
              <w:t>(54)</w:t>
            </w:r>
          </w:p>
        </w:tc>
        <w:tc>
          <w:tcPr>
            <w:tcW w:w="1223" w:type="dxa"/>
            <w:shd w:val="clear" w:color="auto" w:fill="auto"/>
            <w:noWrap/>
            <w:tcMar>
              <w:right w:w="170" w:type="dxa"/>
            </w:tcMar>
            <w:vAlign w:val="center"/>
            <w:hideMark/>
          </w:tcPr>
          <w:p w14:paraId="533BD5DA"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5DB"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5DC"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5DD" w14:textId="77777777" w:rsidR="00C01C52" w:rsidRPr="006F669A" w:rsidRDefault="00F60FAA" w:rsidP="00C01C52">
            <w:pPr>
              <w:spacing w:line="240" w:lineRule="auto"/>
              <w:jc w:val="right"/>
              <w:rPr>
                <w:rFonts w:cs="Arial"/>
                <w:szCs w:val="22"/>
              </w:rPr>
            </w:pPr>
            <w:r w:rsidRPr="006F669A">
              <w:rPr>
                <w:rFonts w:cs="Arial"/>
                <w:szCs w:val="22"/>
              </w:rPr>
              <w:t>(54)</w:t>
            </w:r>
          </w:p>
        </w:tc>
      </w:tr>
      <w:tr w:rsidR="002B7C48" w14:paraId="533BD5E5" w14:textId="77777777" w:rsidTr="00C01C52">
        <w:trPr>
          <w:trHeight w:val="397"/>
        </w:trPr>
        <w:tc>
          <w:tcPr>
            <w:tcW w:w="3381" w:type="dxa"/>
            <w:shd w:val="clear" w:color="auto" w:fill="auto"/>
            <w:noWrap/>
            <w:vAlign w:val="center"/>
            <w:hideMark/>
          </w:tcPr>
          <w:p w14:paraId="533BD5DF" w14:textId="77777777" w:rsidR="00C01C52" w:rsidRPr="00571449" w:rsidRDefault="00F60FAA" w:rsidP="00C01C52">
            <w:pPr>
              <w:spacing w:line="240" w:lineRule="auto"/>
              <w:jc w:val="left"/>
              <w:rPr>
                <w:rFonts w:cs="Arial"/>
                <w:szCs w:val="22"/>
              </w:rPr>
            </w:pPr>
            <w:r w:rsidRPr="00571449">
              <w:rPr>
                <w:rFonts w:cs="Arial"/>
                <w:szCs w:val="22"/>
              </w:rPr>
              <w:t>Borough Council Elections</w:t>
            </w:r>
          </w:p>
        </w:tc>
        <w:tc>
          <w:tcPr>
            <w:tcW w:w="1223" w:type="dxa"/>
            <w:shd w:val="clear" w:color="auto" w:fill="auto"/>
            <w:noWrap/>
            <w:tcMar>
              <w:right w:w="170" w:type="dxa"/>
            </w:tcMar>
            <w:vAlign w:val="center"/>
            <w:hideMark/>
          </w:tcPr>
          <w:p w14:paraId="533BD5E0" w14:textId="77777777" w:rsidR="00C01C52" w:rsidRPr="00571449" w:rsidRDefault="00F60FAA" w:rsidP="00C01C52">
            <w:pPr>
              <w:spacing w:line="240" w:lineRule="auto"/>
              <w:jc w:val="right"/>
              <w:rPr>
                <w:rFonts w:cs="Arial"/>
                <w:szCs w:val="22"/>
              </w:rPr>
            </w:pPr>
            <w:r w:rsidRPr="00571449">
              <w:rPr>
                <w:rFonts w:cs="Arial"/>
                <w:szCs w:val="22"/>
              </w:rPr>
              <w:t>(114)</w:t>
            </w:r>
          </w:p>
        </w:tc>
        <w:tc>
          <w:tcPr>
            <w:tcW w:w="1223" w:type="dxa"/>
            <w:shd w:val="clear" w:color="auto" w:fill="auto"/>
            <w:noWrap/>
            <w:tcMar>
              <w:right w:w="170" w:type="dxa"/>
            </w:tcMar>
            <w:vAlign w:val="center"/>
            <w:hideMark/>
          </w:tcPr>
          <w:p w14:paraId="533BD5E1" w14:textId="77777777" w:rsidR="00C01C52" w:rsidRPr="006F669A" w:rsidRDefault="00F60FAA" w:rsidP="00C01C52">
            <w:pPr>
              <w:spacing w:line="240" w:lineRule="auto"/>
              <w:jc w:val="right"/>
              <w:rPr>
                <w:rFonts w:cs="Arial"/>
                <w:szCs w:val="22"/>
              </w:rPr>
            </w:pPr>
            <w:r w:rsidRPr="006F669A">
              <w:rPr>
                <w:rFonts w:cs="Arial"/>
                <w:szCs w:val="22"/>
              </w:rPr>
              <w:t>(40)</w:t>
            </w:r>
          </w:p>
        </w:tc>
        <w:tc>
          <w:tcPr>
            <w:tcW w:w="1223" w:type="dxa"/>
            <w:shd w:val="clear" w:color="auto" w:fill="auto"/>
            <w:noWrap/>
            <w:tcMar>
              <w:right w:w="170" w:type="dxa"/>
            </w:tcMar>
            <w:vAlign w:val="center"/>
            <w:hideMark/>
          </w:tcPr>
          <w:p w14:paraId="533BD5E2" w14:textId="77777777" w:rsidR="00C01C52" w:rsidRPr="006F669A" w:rsidRDefault="00F60FAA" w:rsidP="00C01C52">
            <w:pPr>
              <w:spacing w:line="240" w:lineRule="auto"/>
              <w:jc w:val="right"/>
              <w:rPr>
                <w:rFonts w:cs="Arial"/>
                <w:szCs w:val="22"/>
              </w:rPr>
            </w:pPr>
            <w:r w:rsidRPr="006F669A">
              <w:rPr>
                <w:rFonts w:cs="Arial"/>
                <w:szCs w:val="22"/>
              </w:rPr>
              <w:t>154</w:t>
            </w:r>
          </w:p>
        </w:tc>
        <w:tc>
          <w:tcPr>
            <w:tcW w:w="1223" w:type="dxa"/>
            <w:shd w:val="clear" w:color="auto" w:fill="auto"/>
            <w:noWrap/>
            <w:tcMar>
              <w:right w:w="170" w:type="dxa"/>
            </w:tcMar>
            <w:vAlign w:val="center"/>
            <w:hideMark/>
          </w:tcPr>
          <w:p w14:paraId="533BD5E3"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5E4" w14:textId="77777777" w:rsidR="00C01C52" w:rsidRPr="006F669A" w:rsidRDefault="00F60FAA" w:rsidP="00C01C52">
            <w:pPr>
              <w:spacing w:line="240" w:lineRule="auto"/>
              <w:jc w:val="right"/>
              <w:rPr>
                <w:rFonts w:cs="Arial"/>
                <w:szCs w:val="22"/>
              </w:rPr>
            </w:pPr>
            <w:r w:rsidRPr="006F669A">
              <w:rPr>
                <w:rFonts w:cs="Arial"/>
                <w:szCs w:val="22"/>
              </w:rPr>
              <w:t>-</w:t>
            </w:r>
          </w:p>
        </w:tc>
      </w:tr>
      <w:tr w:rsidR="002B7C48" w14:paraId="533BD5EC" w14:textId="77777777" w:rsidTr="00C01C52">
        <w:trPr>
          <w:trHeight w:val="397"/>
        </w:trPr>
        <w:tc>
          <w:tcPr>
            <w:tcW w:w="3381" w:type="dxa"/>
            <w:shd w:val="clear" w:color="auto" w:fill="auto"/>
            <w:noWrap/>
            <w:vAlign w:val="center"/>
            <w:hideMark/>
          </w:tcPr>
          <w:p w14:paraId="533BD5E6" w14:textId="77777777" w:rsidR="00C01C52" w:rsidRPr="00571449" w:rsidRDefault="00F60FAA" w:rsidP="00C01C52">
            <w:pPr>
              <w:spacing w:line="240" w:lineRule="auto"/>
              <w:jc w:val="left"/>
              <w:rPr>
                <w:rFonts w:cs="Arial"/>
                <w:szCs w:val="22"/>
              </w:rPr>
            </w:pPr>
            <w:r w:rsidRPr="00571449">
              <w:rPr>
                <w:rFonts w:cs="Arial"/>
                <w:szCs w:val="22"/>
              </w:rPr>
              <w:t>Housing Needs Survey</w:t>
            </w:r>
          </w:p>
        </w:tc>
        <w:tc>
          <w:tcPr>
            <w:tcW w:w="1223" w:type="dxa"/>
            <w:shd w:val="clear" w:color="auto" w:fill="auto"/>
            <w:noWrap/>
            <w:tcMar>
              <w:right w:w="170" w:type="dxa"/>
            </w:tcMar>
            <w:vAlign w:val="center"/>
            <w:hideMark/>
          </w:tcPr>
          <w:p w14:paraId="533BD5E7" w14:textId="77777777" w:rsidR="00C01C52" w:rsidRPr="00571449" w:rsidRDefault="00F60FAA" w:rsidP="00C01C52">
            <w:pPr>
              <w:spacing w:line="240" w:lineRule="auto"/>
              <w:jc w:val="right"/>
              <w:rPr>
                <w:rFonts w:cs="Arial"/>
                <w:szCs w:val="22"/>
              </w:rPr>
            </w:pPr>
            <w:r w:rsidRPr="00571449">
              <w:rPr>
                <w:rFonts w:cs="Arial"/>
                <w:szCs w:val="22"/>
              </w:rPr>
              <w:t>(83)</w:t>
            </w:r>
          </w:p>
        </w:tc>
        <w:tc>
          <w:tcPr>
            <w:tcW w:w="1223" w:type="dxa"/>
            <w:shd w:val="clear" w:color="auto" w:fill="auto"/>
            <w:noWrap/>
            <w:tcMar>
              <w:right w:w="170" w:type="dxa"/>
            </w:tcMar>
            <w:vAlign w:val="center"/>
            <w:hideMark/>
          </w:tcPr>
          <w:p w14:paraId="533BD5E8" w14:textId="77777777" w:rsidR="00C01C52" w:rsidRPr="006F669A" w:rsidRDefault="00F60FAA" w:rsidP="00C01C52">
            <w:pPr>
              <w:spacing w:line="240" w:lineRule="auto"/>
              <w:jc w:val="right"/>
              <w:rPr>
                <w:rFonts w:cs="Arial"/>
                <w:szCs w:val="22"/>
              </w:rPr>
            </w:pPr>
            <w:r w:rsidRPr="006F669A">
              <w:rPr>
                <w:rFonts w:cs="Arial"/>
                <w:szCs w:val="22"/>
              </w:rPr>
              <w:t>(20)</w:t>
            </w:r>
          </w:p>
        </w:tc>
        <w:tc>
          <w:tcPr>
            <w:tcW w:w="1223" w:type="dxa"/>
            <w:shd w:val="clear" w:color="auto" w:fill="auto"/>
            <w:noWrap/>
            <w:tcMar>
              <w:right w:w="170" w:type="dxa"/>
            </w:tcMar>
            <w:vAlign w:val="center"/>
            <w:hideMark/>
          </w:tcPr>
          <w:p w14:paraId="533BD5E9"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5EA"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5EB" w14:textId="77777777" w:rsidR="00C01C52" w:rsidRPr="006F669A" w:rsidRDefault="00F60FAA" w:rsidP="00C01C52">
            <w:pPr>
              <w:spacing w:line="240" w:lineRule="auto"/>
              <w:jc w:val="right"/>
              <w:rPr>
                <w:rFonts w:cs="Arial"/>
                <w:szCs w:val="22"/>
              </w:rPr>
            </w:pPr>
            <w:r w:rsidRPr="006F669A">
              <w:rPr>
                <w:rFonts w:cs="Arial"/>
                <w:szCs w:val="22"/>
              </w:rPr>
              <w:t>(103)</w:t>
            </w:r>
          </w:p>
        </w:tc>
      </w:tr>
      <w:tr w:rsidR="002B7C48" w14:paraId="533BD5F3" w14:textId="77777777" w:rsidTr="00C01C52">
        <w:trPr>
          <w:trHeight w:val="397"/>
        </w:trPr>
        <w:tc>
          <w:tcPr>
            <w:tcW w:w="3381" w:type="dxa"/>
            <w:shd w:val="clear" w:color="auto" w:fill="auto"/>
            <w:noWrap/>
            <w:vAlign w:val="center"/>
            <w:hideMark/>
          </w:tcPr>
          <w:p w14:paraId="533BD5ED" w14:textId="77777777" w:rsidR="00C01C52" w:rsidRPr="00571449" w:rsidRDefault="00F60FAA" w:rsidP="00C01C52">
            <w:pPr>
              <w:spacing w:line="240" w:lineRule="auto"/>
              <w:jc w:val="left"/>
              <w:rPr>
                <w:rFonts w:cs="Arial"/>
                <w:szCs w:val="22"/>
              </w:rPr>
            </w:pPr>
            <w:r w:rsidRPr="00571449">
              <w:rPr>
                <w:rFonts w:cs="Arial"/>
                <w:szCs w:val="22"/>
              </w:rPr>
              <w:t>Local Development Framework</w:t>
            </w:r>
          </w:p>
        </w:tc>
        <w:tc>
          <w:tcPr>
            <w:tcW w:w="1223" w:type="dxa"/>
            <w:shd w:val="clear" w:color="auto" w:fill="auto"/>
            <w:noWrap/>
            <w:tcMar>
              <w:right w:w="170" w:type="dxa"/>
            </w:tcMar>
            <w:vAlign w:val="center"/>
            <w:hideMark/>
          </w:tcPr>
          <w:p w14:paraId="533BD5EE" w14:textId="77777777" w:rsidR="00C01C52" w:rsidRPr="00571449" w:rsidRDefault="00F60FAA" w:rsidP="00C01C52">
            <w:pPr>
              <w:spacing w:line="240" w:lineRule="auto"/>
              <w:jc w:val="right"/>
              <w:rPr>
                <w:rFonts w:cs="Arial"/>
                <w:szCs w:val="22"/>
              </w:rPr>
            </w:pPr>
            <w:r w:rsidRPr="00571449">
              <w:rPr>
                <w:rFonts w:cs="Arial"/>
                <w:szCs w:val="22"/>
              </w:rPr>
              <w:t>(255)</w:t>
            </w:r>
          </w:p>
        </w:tc>
        <w:tc>
          <w:tcPr>
            <w:tcW w:w="1223" w:type="dxa"/>
            <w:shd w:val="clear" w:color="auto" w:fill="auto"/>
            <w:noWrap/>
            <w:tcMar>
              <w:right w:w="170" w:type="dxa"/>
            </w:tcMar>
            <w:vAlign w:val="center"/>
          </w:tcPr>
          <w:p w14:paraId="533BD5EF"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5F0" w14:textId="77777777" w:rsidR="00C01C52" w:rsidRPr="006F669A" w:rsidRDefault="00F60FAA" w:rsidP="00C01C52">
            <w:pPr>
              <w:spacing w:line="240" w:lineRule="auto"/>
              <w:jc w:val="right"/>
              <w:rPr>
                <w:rFonts w:cs="Arial"/>
                <w:szCs w:val="22"/>
              </w:rPr>
            </w:pPr>
            <w:r>
              <w:rPr>
                <w:rFonts w:cs="Arial"/>
                <w:szCs w:val="22"/>
              </w:rPr>
              <w:t xml:space="preserve"> - </w:t>
            </w:r>
          </w:p>
        </w:tc>
        <w:tc>
          <w:tcPr>
            <w:tcW w:w="1223" w:type="dxa"/>
            <w:shd w:val="clear" w:color="auto" w:fill="auto"/>
            <w:noWrap/>
            <w:tcMar>
              <w:right w:w="170" w:type="dxa"/>
            </w:tcMar>
            <w:vAlign w:val="center"/>
            <w:hideMark/>
          </w:tcPr>
          <w:p w14:paraId="533BD5F1"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5F2" w14:textId="77777777" w:rsidR="00C01C52" w:rsidRPr="006F669A" w:rsidRDefault="00F60FAA" w:rsidP="00C01C52">
            <w:pPr>
              <w:spacing w:line="240" w:lineRule="auto"/>
              <w:jc w:val="right"/>
              <w:rPr>
                <w:rFonts w:cs="Arial"/>
                <w:szCs w:val="22"/>
              </w:rPr>
            </w:pPr>
            <w:r w:rsidRPr="006F669A">
              <w:rPr>
                <w:rFonts w:cs="Arial"/>
                <w:szCs w:val="22"/>
              </w:rPr>
              <w:t>(</w:t>
            </w:r>
            <w:r>
              <w:rPr>
                <w:rFonts w:cs="Arial"/>
                <w:szCs w:val="22"/>
              </w:rPr>
              <w:t>255</w:t>
            </w:r>
            <w:r w:rsidRPr="006F669A">
              <w:rPr>
                <w:rFonts w:cs="Arial"/>
                <w:szCs w:val="22"/>
              </w:rPr>
              <w:t>)</w:t>
            </w:r>
          </w:p>
        </w:tc>
      </w:tr>
      <w:tr w:rsidR="002B7C48" w14:paraId="533BD5FA" w14:textId="77777777" w:rsidTr="00C01C52">
        <w:trPr>
          <w:trHeight w:val="397"/>
        </w:trPr>
        <w:tc>
          <w:tcPr>
            <w:tcW w:w="3381" w:type="dxa"/>
            <w:shd w:val="clear" w:color="auto" w:fill="auto"/>
            <w:noWrap/>
            <w:vAlign w:val="center"/>
          </w:tcPr>
          <w:p w14:paraId="533BD5F4" w14:textId="77777777" w:rsidR="00C01C52" w:rsidRPr="00571449" w:rsidRDefault="00F60FAA" w:rsidP="00C01C52">
            <w:pPr>
              <w:spacing w:line="240" w:lineRule="auto"/>
              <w:jc w:val="left"/>
              <w:rPr>
                <w:rFonts w:cs="Arial"/>
                <w:szCs w:val="22"/>
              </w:rPr>
            </w:pPr>
            <w:r>
              <w:rPr>
                <w:rFonts w:cs="Arial"/>
                <w:szCs w:val="22"/>
              </w:rPr>
              <w:t>CIL admin</w:t>
            </w:r>
          </w:p>
        </w:tc>
        <w:tc>
          <w:tcPr>
            <w:tcW w:w="1223" w:type="dxa"/>
            <w:shd w:val="clear" w:color="auto" w:fill="auto"/>
            <w:noWrap/>
            <w:tcMar>
              <w:right w:w="170" w:type="dxa"/>
            </w:tcMar>
            <w:vAlign w:val="center"/>
          </w:tcPr>
          <w:p w14:paraId="533BD5F5" w14:textId="77777777" w:rsidR="00C01C52" w:rsidRPr="00571449" w:rsidRDefault="00F60FAA" w:rsidP="00C01C52">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tcPr>
          <w:p w14:paraId="533BD5F6" w14:textId="77777777" w:rsidR="00C01C52" w:rsidRPr="006F669A" w:rsidRDefault="00F60FAA" w:rsidP="00C01C52">
            <w:pPr>
              <w:spacing w:line="240" w:lineRule="auto"/>
              <w:jc w:val="right"/>
              <w:rPr>
                <w:rFonts w:cs="Arial"/>
                <w:szCs w:val="22"/>
              </w:rPr>
            </w:pPr>
            <w:r>
              <w:rPr>
                <w:rFonts w:cs="Arial"/>
                <w:szCs w:val="22"/>
              </w:rPr>
              <w:t>(149)</w:t>
            </w:r>
          </w:p>
        </w:tc>
        <w:tc>
          <w:tcPr>
            <w:tcW w:w="1223" w:type="dxa"/>
            <w:shd w:val="clear" w:color="auto" w:fill="auto"/>
            <w:noWrap/>
            <w:tcMar>
              <w:right w:w="170" w:type="dxa"/>
            </w:tcMar>
            <w:vAlign w:val="center"/>
          </w:tcPr>
          <w:p w14:paraId="533BD5F7" w14:textId="77777777" w:rsidR="00C01C52" w:rsidRPr="006F669A" w:rsidRDefault="00F60FAA" w:rsidP="00C01C52">
            <w:pPr>
              <w:spacing w:line="240" w:lineRule="auto"/>
              <w:jc w:val="right"/>
              <w:rPr>
                <w:rFonts w:cs="Arial"/>
                <w:szCs w:val="22"/>
              </w:rPr>
            </w:pPr>
            <w:r>
              <w:rPr>
                <w:rFonts w:cs="Arial"/>
                <w:szCs w:val="22"/>
              </w:rPr>
              <w:t xml:space="preserve"> - </w:t>
            </w:r>
          </w:p>
        </w:tc>
        <w:tc>
          <w:tcPr>
            <w:tcW w:w="1223" w:type="dxa"/>
            <w:shd w:val="clear" w:color="auto" w:fill="auto"/>
            <w:noWrap/>
            <w:tcMar>
              <w:right w:w="170" w:type="dxa"/>
            </w:tcMar>
            <w:vAlign w:val="center"/>
          </w:tcPr>
          <w:p w14:paraId="533BD5F8"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tcPr>
          <w:p w14:paraId="533BD5F9" w14:textId="77777777" w:rsidR="00C01C52" w:rsidRPr="006F669A" w:rsidRDefault="00F60FAA" w:rsidP="00C01C52">
            <w:pPr>
              <w:spacing w:line="240" w:lineRule="auto"/>
              <w:jc w:val="right"/>
              <w:rPr>
                <w:rFonts w:cs="Arial"/>
                <w:szCs w:val="22"/>
              </w:rPr>
            </w:pPr>
            <w:r>
              <w:rPr>
                <w:rFonts w:cs="Arial"/>
                <w:szCs w:val="22"/>
              </w:rPr>
              <w:t>(149)</w:t>
            </w:r>
          </w:p>
        </w:tc>
      </w:tr>
      <w:tr w:rsidR="002B7C48" w14:paraId="533BD601" w14:textId="77777777" w:rsidTr="00C01C52">
        <w:trPr>
          <w:trHeight w:val="397"/>
        </w:trPr>
        <w:tc>
          <w:tcPr>
            <w:tcW w:w="3381" w:type="dxa"/>
            <w:shd w:val="clear" w:color="auto" w:fill="auto"/>
            <w:noWrap/>
            <w:vAlign w:val="center"/>
            <w:hideMark/>
          </w:tcPr>
          <w:p w14:paraId="533BD5FB" w14:textId="77777777" w:rsidR="00C01C52" w:rsidRPr="00571449" w:rsidRDefault="00F60FAA" w:rsidP="00C01C52">
            <w:pPr>
              <w:spacing w:line="240" w:lineRule="auto"/>
              <w:jc w:val="left"/>
              <w:rPr>
                <w:rFonts w:cs="Arial"/>
                <w:szCs w:val="22"/>
              </w:rPr>
            </w:pPr>
            <w:r w:rsidRPr="00571449">
              <w:rPr>
                <w:rFonts w:cs="Arial"/>
                <w:szCs w:val="22"/>
              </w:rPr>
              <w:t>Performance Reward Grant</w:t>
            </w:r>
          </w:p>
        </w:tc>
        <w:tc>
          <w:tcPr>
            <w:tcW w:w="1223" w:type="dxa"/>
            <w:shd w:val="clear" w:color="auto" w:fill="auto"/>
            <w:noWrap/>
            <w:tcMar>
              <w:right w:w="170" w:type="dxa"/>
            </w:tcMar>
            <w:vAlign w:val="center"/>
            <w:hideMark/>
          </w:tcPr>
          <w:p w14:paraId="533BD5FC" w14:textId="77777777" w:rsidR="00C01C52" w:rsidRPr="00571449" w:rsidRDefault="00F60FAA" w:rsidP="00C01C52">
            <w:pPr>
              <w:spacing w:line="240" w:lineRule="auto"/>
              <w:jc w:val="right"/>
              <w:rPr>
                <w:rFonts w:cs="Arial"/>
                <w:szCs w:val="22"/>
              </w:rPr>
            </w:pPr>
            <w:r w:rsidRPr="00571449">
              <w:rPr>
                <w:rFonts w:cs="Arial"/>
                <w:szCs w:val="22"/>
              </w:rPr>
              <w:t>(46)</w:t>
            </w:r>
          </w:p>
        </w:tc>
        <w:tc>
          <w:tcPr>
            <w:tcW w:w="1223" w:type="dxa"/>
            <w:shd w:val="clear" w:color="auto" w:fill="auto"/>
            <w:noWrap/>
            <w:tcMar>
              <w:right w:w="170" w:type="dxa"/>
            </w:tcMar>
            <w:vAlign w:val="center"/>
            <w:hideMark/>
          </w:tcPr>
          <w:p w14:paraId="533BD5FD"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5FE" w14:textId="77777777" w:rsidR="00C01C52" w:rsidRPr="006F669A" w:rsidRDefault="00F60FAA" w:rsidP="00C01C52">
            <w:pPr>
              <w:spacing w:line="240" w:lineRule="auto"/>
              <w:jc w:val="right"/>
              <w:rPr>
                <w:rFonts w:cs="Arial"/>
                <w:szCs w:val="22"/>
              </w:rPr>
            </w:pPr>
            <w:r w:rsidRPr="006F669A">
              <w:rPr>
                <w:rFonts w:cs="Arial"/>
                <w:szCs w:val="22"/>
              </w:rPr>
              <w:t>46</w:t>
            </w:r>
          </w:p>
        </w:tc>
        <w:tc>
          <w:tcPr>
            <w:tcW w:w="1223" w:type="dxa"/>
            <w:shd w:val="clear" w:color="auto" w:fill="auto"/>
            <w:noWrap/>
            <w:tcMar>
              <w:right w:w="170" w:type="dxa"/>
            </w:tcMar>
            <w:vAlign w:val="center"/>
            <w:hideMark/>
          </w:tcPr>
          <w:p w14:paraId="533BD5FF"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600" w14:textId="77777777" w:rsidR="00C01C52" w:rsidRPr="006F669A" w:rsidRDefault="00F60FAA" w:rsidP="00C01C52">
            <w:pPr>
              <w:spacing w:line="240" w:lineRule="auto"/>
              <w:jc w:val="right"/>
              <w:rPr>
                <w:rFonts w:cs="Arial"/>
                <w:szCs w:val="22"/>
              </w:rPr>
            </w:pPr>
            <w:r w:rsidRPr="006F669A">
              <w:rPr>
                <w:rFonts w:cs="Arial"/>
                <w:szCs w:val="22"/>
              </w:rPr>
              <w:t>-</w:t>
            </w:r>
          </w:p>
        </w:tc>
      </w:tr>
      <w:tr w:rsidR="002B7C48" w14:paraId="533BD608" w14:textId="77777777" w:rsidTr="00C01C52">
        <w:trPr>
          <w:trHeight w:val="397"/>
        </w:trPr>
        <w:tc>
          <w:tcPr>
            <w:tcW w:w="3381" w:type="dxa"/>
            <w:shd w:val="clear" w:color="auto" w:fill="auto"/>
            <w:noWrap/>
            <w:vAlign w:val="center"/>
            <w:hideMark/>
          </w:tcPr>
          <w:p w14:paraId="533BD602" w14:textId="77777777" w:rsidR="00C01C52" w:rsidRPr="00571449" w:rsidRDefault="00F60FAA" w:rsidP="00C01C52">
            <w:pPr>
              <w:spacing w:line="240" w:lineRule="auto"/>
              <w:jc w:val="left"/>
              <w:rPr>
                <w:rFonts w:cs="Arial"/>
                <w:szCs w:val="22"/>
              </w:rPr>
            </w:pPr>
            <w:r w:rsidRPr="00571449">
              <w:rPr>
                <w:rFonts w:cs="Arial"/>
                <w:szCs w:val="22"/>
              </w:rPr>
              <w:t>Organisation Restructure Costs</w:t>
            </w:r>
          </w:p>
        </w:tc>
        <w:tc>
          <w:tcPr>
            <w:tcW w:w="1223" w:type="dxa"/>
            <w:shd w:val="clear" w:color="auto" w:fill="auto"/>
            <w:noWrap/>
            <w:tcMar>
              <w:right w:w="170" w:type="dxa"/>
            </w:tcMar>
            <w:vAlign w:val="center"/>
            <w:hideMark/>
          </w:tcPr>
          <w:p w14:paraId="533BD603" w14:textId="77777777" w:rsidR="00C01C52" w:rsidRPr="00571449" w:rsidRDefault="00F60FAA" w:rsidP="00C01C52">
            <w:pPr>
              <w:spacing w:line="240" w:lineRule="auto"/>
              <w:jc w:val="right"/>
              <w:rPr>
                <w:rFonts w:cs="Arial"/>
                <w:szCs w:val="22"/>
              </w:rPr>
            </w:pPr>
            <w:r w:rsidRPr="00571449">
              <w:rPr>
                <w:rFonts w:cs="Arial"/>
                <w:szCs w:val="22"/>
              </w:rPr>
              <w:t>(27)</w:t>
            </w:r>
          </w:p>
        </w:tc>
        <w:tc>
          <w:tcPr>
            <w:tcW w:w="1223" w:type="dxa"/>
            <w:shd w:val="clear" w:color="auto" w:fill="auto"/>
            <w:noWrap/>
            <w:tcMar>
              <w:right w:w="170" w:type="dxa"/>
            </w:tcMar>
            <w:vAlign w:val="center"/>
            <w:hideMark/>
          </w:tcPr>
          <w:p w14:paraId="533BD604"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05"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06"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607" w14:textId="77777777" w:rsidR="00C01C52" w:rsidRPr="006F669A" w:rsidRDefault="00F60FAA" w:rsidP="00C01C52">
            <w:pPr>
              <w:spacing w:line="240" w:lineRule="auto"/>
              <w:jc w:val="right"/>
              <w:rPr>
                <w:rFonts w:cs="Arial"/>
                <w:szCs w:val="22"/>
              </w:rPr>
            </w:pPr>
            <w:r w:rsidRPr="006F669A">
              <w:rPr>
                <w:rFonts w:cs="Arial"/>
                <w:szCs w:val="22"/>
              </w:rPr>
              <w:t>(27)</w:t>
            </w:r>
          </w:p>
        </w:tc>
      </w:tr>
      <w:tr w:rsidR="002B7C48" w14:paraId="533BD60F" w14:textId="77777777" w:rsidTr="00C01C52">
        <w:trPr>
          <w:trHeight w:val="397"/>
        </w:trPr>
        <w:tc>
          <w:tcPr>
            <w:tcW w:w="3381" w:type="dxa"/>
            <w:shd w:val="clear" w:color="auto" w:fill="auto"/>
            <w:noWrap/>
            <w:vAlign w:val="center"/>
            <w:hideMark/>
          </w:tcPr>
          <w:p w14:paraId="533BD609" w14:textId="77777777" w:rsidR="00C01C52" w:rsidRPr="00571449" w:rsidRDefault="00F60FAA" w:rsidP="00C01C52">
            <w:pPr>
              <w:spacing w:line="240" w:lineRule="auto"/>
              <w:jc w:val="left"/>
              <w:rPr>
                <w:rFonts w:cs="Arial"/>
                <w:szCs w:val="22"/>
              </w:rPr>
            </w:pPr>
            <w:r w:rsidRPr="00571449">
              <w:rPr>
                <w:rFonts w:cs="Arial"/>
                <w:szCs w:val="22"/>
              </w:rPr>
              <w:t>Borough Investment Account</w:t>
            </w:r>
          </w:p>
        </w:tc>
        <w:tc>
          <w:tcPr>
            <w:tcW w:w="1223" w:type="dxa"/>
            <w:shd w:val="clear" w:color="auto" w:fill="auto"/>
            <w:noWrap/>
            <w:tcMar>
              <w:right w:w="170" w:type="dxa"/>
            </w:tcMar>
            <w:vAlign w:val="center"/>
            <w:hideMark/>
          </w:tcPr>
          <w:p w14:paraId="533BD60A" w14:textId="77777777" w:rsidR="00C01C52" w:rsidRPr="00571449" w:rsidRDefault="00F60FAA" w:rsidP="00C01C52">
            <w:pPr>
              <w:spacing w:line="240" w:lineRule="auto"/>
              <w:jc w:val="right"/>
              <w:rPr>
                <w:rFonts w:cs="Arial"/>
                <w:szCs w:val="22"/>
              </w:rPr>
            </w:pPr>
            <w:r w:rsidRPr="00571449">
              <w:rPr>
                <w:rFonts w:cs="Arial"/>
                <w:szCs w:val="22"/>
              </w:rPr>
              <w:t>(4,594)</w:t>
            </w:r>
          </w:p>
        </w:tc>
        <w:tc>
          <w:tcPr>
            <w:tcW w:w="1223" w:type="dxa"/>
            <w:shd w:val="clear" w:color="auto" w:fill="auto"/>
            <w:noWrap/>
            <w:tcMar>
              <w:right w:w="170" w:type="dxa"/>
            </w:tcMar>
            <w:vAlign w:val="center"/>
            <w:hideMark/>
          </w:tcPr>
          <w:p w14:paraId="533BD60B"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0C" w14:textId="77777777" w:rsidR="00C01C52" w:rsidRPr="006F669A" w:rsidRDefault="00F60FAA" w:rsidP="00C01C52">
            <w:pPr>
              <w:spacing w:line="240" w:lineRule="auto"/>
              <w:jc w:val="right"/>
              <w:rPr>
                <w:rFonts w:cs="Arial"/>
                <w:szCs w:val="22"/>
              </w:rPr>
            </w:pPr>
            <w:r>
              <w:rPr>
                <w:rFonts w:cs="Arial"/>
                <w:szCs w:val="22"/>
              </w:rPr>
              <w:t xml:space="preserve"> - </w:t>
            </w:r>
          </w:p>
        </w:tc>
        <w:tc>
          <w:tcPr>
            <w:tcW w:w="1223" w:type="dxa"/>
            <w:shd w:val="clear" w:color="auto" w:fill="auto"/>
            <w:noWrap/>
            <w:tcMar>
              <w:right w:w="170" w:type="dxa"/>
            </w:tcMar>
            <w:vAlign w:val="center"/>
            <w:hideMark/>
          </w:tcPr>
          <w:p w14:paraId="533BD60D" w14:textId="77777777" w:rsidR="00C01C52" w:rsidRPr="006F669A" w:rsidRDefault="00F60FAA" w:rsidP="00C01C52">
            <w:pPr>
              <w:spacing w:line="240" w:lineRule="auto"/>
              <w:jc w:val="right"/>
              <w:rPr>
                <w:rFonts w:cs="Arial"/>
                <w:szCs w:val="22"/>
              </w:rPr>
            </w:pPr>
            <w:r>
              <w:rPr>
                <w:rFonts w:cs="Arial"/>
                <w:szCs w:val="22"/>
              </w:rPr>
              <w:t xml:space="preserve"> - </w:t>
            </w:r>
          </w:p>
        </w:tc>
        <w:tc>
          <w:tcPr>
            <w:tcW w:w="1460" w:type="dxa"/>
            <w:shd w:val="clear" w:color="auto" w:fill="auto"/>
            <w:noWrap/>
            <w:tcMar>
              <w:right w:w="170" w:type="dxa"/>
            </w:tcMar>
            <w:vAlign w:val="center"/>
            <w:hideMark/>
          </w:tcPr>
          <w:p w14:paraId="533BD60E" w14:textId="77777777" w:rsidR="00C01C52" w:rsidRPr="006F669A" w:rsidRDefault="00F60FAA" w:rsidP="00C01C52">
            <w:pPr>
              <w:spacing w:line="240" w:lineRule="auto"/>
              <w:jc w:val="right"/>
              <w:rPr>
                <w:rFonts w:cs="Arial"/>
                <w:szCs w:val="22"/>
              </w:rPr>
            </w:pPr>
            <w:r>
              <w:rPr>
                <w:rFonts w:cs="Arial"/>
                <w:szCs w:val="22"/>
              </w:rPr>
              <w:t xml:space="preserve">(4,594) </w:t>
            </w:r>
          </w:p>
        </w:tc>
      </w:tr>
      <w:tr w:rsidR="002B7C48" w14:paraId="533BD616" w14:textId="77777777" w:rsidTr="00C01C52">
        <w:trPr>
          <w:trHeight w:val="397"/>
        </w:trPr>
        <w:tc>
          <w:tcPr>
            <w:tcW w:w="3381" w:type="dxa"/>
            <w:shd w:val="clear" w:color="auto" w:fill="auto"/>
            <w:noWrap/>
            <w:vAlign w:val="center"/>
            <w:hideMark/>
          </w:tcPr>
          <w:p w14:paraId="533BD610" w14:textId="77777777" w:rsidR="00C01C52" w:rsidRPr="00571449" w:rsidRDefault="00F60FAA" w:rsidP="00C01C52">
            <w:pPr>
              <w:spacing w:line="240" w:lineRule="auto"/>
              <w:jc w:val="left"/>
              <w:rPr>
                <w:rFonts w:cs="Arial"/>
                <w:szCs w:val="22"/>
              </w:rPr>
            </w:pPr>
            <w:r w:rsidRPr="00571449">
              <w:rPr>
                <w:rFonts w:cs="Arial"/>
                <w:szCs w:val="22"/>
              </w:rPr>
              <w:t>Business Rates Retention</w:t>
            </w:r>
          </w:p>
        </w:tc>
        <w:tc>
          <w:tcPr>
            <w:tcW w:w="1223" w:type="dxa"/>
            <w:shd w:val="clear" w:color="auto" w:fill="auto"/>
            <w:noWrap/>
            <w:tcMar>
              <w:right w:w="170" w:type="dxa"/>
            </w:tcMar>
            <w:vAlign w:val="center"/>
            <w:hideMark/>
          </w:tcPr>
          <w:p w14:paraId="533BD611" w14:textId="77777777" w:rsidR="00C01C52" w:rsidRPr="00571449" w:rsidRDefault="00F60FAA" w:rsidP="00C01C52">
            <w:pPr>
              <w:spacing w:line="240" w:lineRule="auto"/>
              <w:jc w:val="right"/>
              <w:rPr>
                <w:rFonts w:cs="Arial"/>
                <w:szCs w:val="22"/>
              </w:rPr>
            </w:pPr>
            <w:r w:rsidRPr="00571449">
              <w:rPr>
                <w:rFonts w:cs="Arial"/>
                <w:szCs w:val="22"/>
              </w:rPr>
              <w:t>(2,751)</w:t>
            </w:r>
          </w:p>
        </w:tc>
        <w:tc>
          <w:tcPr>
            <w:tcW w:w="1223" w:type="dxa"/>
            <w:shd w:val="clear" w:color="auto" w:fill="auto"/>
            <w:noWrap/>
            <w:tcMar>
              <w:right w:w="170" w:type="dxa"/>
            </w:tcMar>
            <w:vAlign w:val="center"/>
            <w:hideMark/>
          </w:tcPr>
          <w:p w14:paraId="533BD612"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13" w14:textId="77777777" w:rsidR="00C01C52" w:rsidRPr="006F669A" w:rsidRDefault="00F60FAA" w:rsidP="00C01C52">
            <w:pPr>
              <w:spacing w:line="240" w:lineRule="auto"/>
              <w:jc w:val="right"/>
              <w:rPr>
                <w:rFonts w:cs="Arial"/>
                <w:szCs w:val="22"/>
              </w:rPr>
            </w:pPr>
            <w:r w:rsidRPr="006F669A">
              <w:rPr>
                <w:rFonts w:cs="Arial"/>
                <w:szCs w:val="22"/>
              </w:rPr>
              <w:t>65</w:t>
            </w:r>
          </w:p>
        </w:tc>
        <w:tc>
          <w:tcPr>
            <w:tcW w:w="1223" w:type="dxa"/>
            <w:shd w:val="clear" w:color="auto" w:fill="auto"/>
            <w:noWrap/>
            <w:tcMar>
              <w:right w:w="170" w:type="dxa"/>
            </w:tcMar>
            <w:vAlign w:val="center"/>
            <w:hideMark/>
          </w:tcPr>
          <w:p w14:paraId="533BD614"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615" w14:textId="77777777" w:rsidR="00C01C52" w:rsidRPr="006F669A" w:rsidRDefault="00F60FAA" w:rsidP="00C01C52">
            <w:pPr>
              <w:spacing w:line="240" w:lineRule="auto"/>
              <w:jc w:val="right"/>
              <w:rPr>
                <w:rFonts w:cs="Arial"/>
                <w:szCs w:val="22"/>
              </w:rPr>
            </w:pPr>
            <w:r w:rsidRPr="006F669A">
              <w:rPr>
                <w:rFonts w:cs="Arial"/>
                <w:szCs w:val="22"/>
              </w:rPr>
              <w:t>(2,686)</w:t>
            </w:r>
          </w:p>
        </w:tc>
      </w:tr>
      <w:tr w:rsidR="002B7C48" w14:paraId="533BD61D" w14:textId="77777777" w:rsidTr="00C01C52">
        <w:trPr>
          <w:trHeight w:val="397"/>
        </w:trPr>
        <w:tc>
          <w:tcPr>
            <w:tcW w:w="3381" w:type="dxa"/>
            <w:shd w:val="clear" w:color="auto" w:fill="auto"/>
            <w:noWrap/>
            <w:vAlign w:val="center"/>
            <w:hideMark/>
          </w:tcPr>
          <w:p w14:paraId="533BD617" w14:textId="77777777" w:rsidR="00C01C52" w:rsidRPr="00571449" w:rsidRDefault="00F60FAA" w:rsidP="00C01C52">
            <w:pPr>
              <w:spacing w:line="240" w:lineRule="auto"/>
              <w:jc w:val="left"/>
              <w:rPr>
                <w:rFonts w:cs="Arial"/>
                <w:szCs w:val="22"/>
              </w:rPr>
            </w:pPr>
            <w:r w:rsidRPr="00571449">
              <w:rPr>
                <w:rFonts w:cs="Arial"/>
                <w:szCs w:val="22"/>
              </w:rPr>
              <w:t>City Deal Reserve</w:t>
            </w:r>
          </w:p>
        </w:tc>
        <w:tc>
          <w:tcPr>
            <w:tcW w:w="1223" w:type="dxa"/>
            <w:shd w:val="clear" w:color="auto" w:fill="auto"/>
            <w:noWrap/>
            <w:tcMar>
              <w:right w:w="170" w:type="dxa"/>
            </w:tcMar>
            <w:vAlign w:val="center"/>
            <w:hideMark/>
          </w:tcPr>
          <w:p w14:paraId="533BD618" w14:textId="77777777" w:rsidR="00C01C52" w:rsidRPr="00571449" w:rsidRDefault="00F60FAA" w:rsidP="00C01C52">
            <w:pPr>
              <w:spacing w:line="240" w:lineRule="auto"/>
              <w:jc w:val="right"/>
              <w:rPr>
                <w:rFonts w:cs="Arial"/>
                <w:szCs w:val="22"/>
              </w:rPr>
            </w:pPr>
            <w:r w:rsidRPr="00571449">
              <w:rPr>
                <w:rFonts w:cs="Arial"/>
                <w:szCs w:val="22"/>
              </w:rPr>
              <w:t>(1,711)</w:t>
            </w:r>
          </w:p>
        </w:tc>
        <w:tc>
          <w:tcPr>
            <w:tcW w:w="1223" w:type="dxa"/>
            <w:shd w:val="clear" w:color="auto" w:fill="auto"/>
            <w:noWrap/>
            <w:tcMar>
              <w:right w:w="170" w:type="dxa"/>
            </w:tcMar>
            <w:vAlign w:val="center"/>
            <w:hideMark/>
          </w:tcPr>
          <w:p w14:paraId="533BD619" w14:textId="77777777" w:rsidR="00C01C52" w:rsidRPr="006F669A" w:rsidRDefault="00F60FAA" w:rsidP="00C01C52">
            <w:pPr>
              <w:spacing w:line="240" w:lineRule="auto"/>
              <w:jc w:val="right"/>
              <w:rPr>
                <w:rFonts w:cs="Arial"/>
                <w:szCs w:val="22"/>
              </w:rPr>
            </w:pPr>
            <w:r w:rsidRPr="006F669A">
              <w:rPr>
                <w:rFonts w:cs="Arial"/>
                <w:szCs w:val="22"/>
              </w:rPr>
              <w:t>(340)</w:t>
            </w:r>
          </w:p>
        </w:tc>
        <w:tc>
          <w:tcPr>
            <w:tcW w:w="1223" w:type="dxa"/>
            <w:shd w:val="clear" w:color="auto" w:fill="auto"/>
            <w:noWrap/>
            <w:tcMar>
              <w:right w:w="170" w:type="dxa"/>
            </w:tcMar>
            <w:vAlign w:val="center"/>
            <w:hideMark/>
          </w:tcPr>
          <w:p w14:paraId="533BD61A" w14:textId="77777777" w:rsidR="00C01C52" w:rsidRPr="006F669A" w:rsidRDefault="00F60FAA" w:rsidP="00C01C52">
            <w:pPr>
              <w:spacing w:line="240" w:lineRule="auto"/>
              <w:jc w:val="right"/>
              <w:rPr>
                <w:rFonts w:cs="Arial"/>
                <w:szCs w:val="22"/>
              </w:rPr>
            </w:pPr>
            <w:r w:rsidRPr="006F669A">
              <w:rPr>
                <w:rFonts w:cs="Arial"/>
                <w:szCs w:val="22"/>
              </w:rPr>
              <w:t>208</w:t>
            </w:r>
          </w:p>
        </w:tc>
        <w:tc>
          <w:tcPr>
            <w:tcW w:w="1223" w:type="dxa"/>
            <w:shd w:val="clear" w:color="auto" w:fill="auto"/>
            <w:noWrap/>
            <w:tcMar>
              <w:right w:w="170" w:type="dxa"/>
            </w:tcMar>
            <w:vAlign w:val="center"/>
            <w:hideMark/>
          </w:tcPr>
          <w:p w14:paraId="533BD61B"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61C" w14:textId="77777777" w:rsidR="00C01C52" w:rsidRPr="006F669A" w:rsidRDefault="00F60FAA" w:rsidP="00C01C52">
            <w:pPr>
              <w:spacing w:line="240" w:lineRule="auto"/>
              <w:jc w:val="right"/>
              <w:rPr>
                <w:rFonts w:cs="Arial"/>
                <w:szCs w:val="22"/>
              </w:rPr>
            </w:pPr>
            <w:r w:rsidRPr="006F669A">
              <w:rPr>
                <w:rFonts w:cs="Arial"/>
                <w:szCs w:val="22"/>
              </w:rPr>
              <w:t>(1,843)</w:t>
            </w:r>
          </w:p>
        </w:tc>
      </w:tr>
      <w:tr w:rsidR="002B7C48" w14:paraId="533BD624" w14:textId="77777777" w:rsidTr="00C01C52">
        <w:trPr>
          <w:trHeight w:val="397"/>
        </w:trPr>
        <w:tc>
          <w:tcPr>
            <w:tcW w:w="3381" w:type="dxa"/>
            <w:shd w:val="clear" w:color="auto" w:fill="auto"/>
            <w:noWrap/>
            <w:vAlign w:val="center"/>
            <w:hideMark/>
          </w:tcPr>
          <w:p w14:paraId="533BD61E" w14:textId="77777777" w:rsidR="00C01C52" w:rsidRPr="00571449" w:rsidRDefault="00F60FAA" w:rsidP="00C01C52">
            <w:pPr>
              <w:spacing w:line="240" w:lineRule="auto"/>
              <w:jc w:val="left"/>
              <w:rPr>
                <w:rFonts w:cs="Arial"/>
                <w:szCs w:val="22"/>
              </w:rPr>
            </w:pPr>
            <w:r w:rsidRPr="00571449">
              <w:rPr>
                <w:rFonts w:cs="Arial"/>
                <w:szCs w:val="22"/>
              </w:rPr>
              <w:t xml:space="preserve">Capital </w:t>
            </w:r>
            <w:r w:rsidRPr="00571449">
              <w:rPr>
                <w:rFonts w:cs="Arial"/>
                <w:szCs w:val="22"/>
              </w:rPr>
              <w:t>Funding Reserve</w:t>
            </w:r>
          </w:p>
        </w:tc>
        <w:tc>
          <w:tcPr>
            <w:tcW w:w="1223" w:type="dxa"/>
            <w:shd w:val="clear" w:color="auto" w:fill="auto"/>
            <w:noWrap/>
            <w:tcMar>
              <w:right w:w="170" w:type="dxa"/>
            </w:tcMar>
            <w:vAlign w:val="center"/>
            <w:hideMark/>
          </w:tcPr>
          <w:p w14:paraId="533BD61F" w14:textId="77777777" w:rsidR="00C01C52" w:rsidRPr="00571449" w:rsidRDefault="00F60FAA" w:rsidP="00C01C52">
            <w:pPr>
              <w:spacing w:line="240" w:lineRule="auto"/>
              <w:jc w:val="right"/>
              <w:rPr>
                <w:rFonts w:cs="Arial"/>
                <w:szCs w:val="22"/>
              </w:rPr>
            </w:pPr>
            <w:r w:rsidRPr="00571449">
              <w:rPr>
                <w:rFonts w:cs="Arial"/>
                <w:szCs w:val="22"/>
              </w:rPr>
              <w:t>(3,073)</w:t>
            </w:r>
          </w:p>
        </w:tc>
        <w:tc>
          <w:tcPr>
            <w:tcW w:w="1223" w:type="dxa"/>
            <w:shd w:val="clear" w:color="auto" w:fill="auto"/>
            <w:noWrap/>
            <w:tcMar>
              <w:right w:w="170" w:type="dxa"/>
            </w:tcMar>
            <w:vAlign w:val="center"/>
            <w:hideMark/>
          </w:tcPr>
          <w:p w14:paraId="533BD620" w14:textId="77777777" w:rsidR="00C01C52" w:rsidRPr="006F669A" w:rsidRDefault="00F60FAA" w:rsidP="00C01C52">
            <w:pPr>
              <w:spacing w:line="240" w:lineRule="auto"/>
              <w:jc w:val="right"/>
              <w:rPr>
                <w:rFonts w:cs="Arial"/>
                <w:szCs w:val="22"/>
              </w:rPr>
            </w:pPr>
            <w:r w:rsidRPr="006F669A">
              <w:rPr>
                <w:rFonts w:cs="Arial"/>
                <w:szCs w:val="22"/>
              </w:rPr>
              <w:t>(716)</w:t>
            </w:r>
          </w:p>
        </w:tc>
        <w:tc>
          <w:tcPr>
            <w:tcW w:w="1223" w:type="dxa"/>
            <w:shd w:val="clear" w:color="auto" w:fill="auto"/>
            <w:noWrap/>
            <w:tcMar>
              <w:right w:w="170" w:type="dxa"/>
            </w:tcMar>
            <w:vAlign w:val="center"/>
            <w:hideMark/>
          </w:tcPr>
          <w:p w14:paraId="533BD621"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22" w14:textId="77777777" w:rsidR="00C01C52" w:rsidRPr="006F669A" w:rsidRDefault="00F60FAA" w:rsidP="00C01C52">
            <w:pPr>
              <w:spacing w:line="240" w:lineRule="auto"/>
              <w:jc w:val="right"/>
              <w:rPr>
                <w:rFonts w:cs="Arial"/>
                <w:szCs w:val="22"/>
              </w:rPr>
            </w:pPr>
            <w:r>
              <w:rPr>
                <w:rFonts w:cs="Arial"/>
                <w:szCs w:val="22"/>
              </w:rPr>
              <w:t>682</w:t>
            </w:r>
          </w:p>
        </w:tc>
        <w:tc>
          <w:tcPr>
            <w:tcW w:w="1460" w:type="dxa"/>
            <w:shd w:val="clear" w:color="auto" w:fill="auto"/>
            <w:noWrap/>
            <w:tcMar>
              <w:right w:w="170" w:type="dxa"/>
            </w:tcMar>
            <w:vAlign w:val="center"/>
            <w:hideMark/>
          </w:tcPr>
          <w:p w14:paraId="533BD623" w14:textId="77777777" w:rsidR="00C01C52" w:rsidRPr="006F669A" w:rsidRDefault="00F60FAA" w:rsidP="00C01C52">
            <w:pPr>
              <w:spacing w:line="240" w:lineRule="auto"/>
              <w:jc w:val="right"/>
              <w:rPr>
                <w:rFonts w:cs="Arial"/>
                <w:szCs w:val="22"/>
              </w:rPr>
            </w:pPr>
            <w:r w:rsidRPr="006F669A">
              <w:rPr>
                <w:rFonts w:cs="Arial"/>
                <w:szCs w:val="22"/>
              </w:rPr>
              <w:t>(</w:t>
            </w:r>
            <w:r>
              <w:rPr>
                <w:rFonts w:cs="Arial"/>
                <w:szCs w:val="22"/>
              </w:rPr>
              <w:t>3</w:t>
            </w:r>
            <w:r w:rsidRPr="006F669A">
              <w:rPr>
                <w:rFonts w:cs="Arial"/>
                <w:szCs w:val="22"/>
              </w:rPr>
              <w:t>,</w:t>
            </w:r>
            <w:r>
              <w:rPr>
                <w:rFonts w:cs="Arial"/>
                <w:szCs w:val="22"/>
              </w:rPr>
              <w:t>107</w:t>
            </w:r>
            <w:r w:rsidRPr="006F669A">
              <w:rPr>
                <w:rFonts w:cs="Arial"/>
                <w:szCs w:val="22"/>
              </w:rPr>
              <w:t>)</w:t>
            </w:r>
          </w:p>
        </w:tc>
      </w:tr>
      <w:tr w:rsidR="002B7C48" w14:paraId="533BD62B" w14:textId="77777777" w:rsidTr="00C01C52">
        <w:trPr>
          <w:trHeight w:val="397"/>
        </w:trPr>
        <w:tc>
          <w:tcPr>
            <w:tcW w:w="3381" w:type="dxa"/>
            <w:shd w:val="clear" w:color="auto" w:fill="auto"/>
            <w:noWrap/>
            <w:vAlign w:val="center"/>
            <w:hideMark/>
          </w:tcPr>
          <w:p w14:paraId="533BD625" w14:textId="77777777" w:rsidR="00C01C52" w:rsidRPr="00571449" w:rsidRDefault="00F60FAA" w:rsidP="00C01C52">
            <w:pPr>
              <w:spacing w:line="240" w:lineRule="auto"/>
              <w:jc w:val="left"/>
              <w:rPr>
                <w:rFonts w:cs="Arial"/>
                <w:szCs w:val="22"/>
              </w:rPr>
            </w:pPr>
            <w:r w:rsidRPr="00571449">
              <w:rPr>
                <w:rFonts w:cs="Arial"/>
                <w:szCs w:val="22"/>
              </w:rPr>
              <w:t>Repairs and Maintenance Fund</w:t>
            </w:r>
          </w:p>
        </w:tc>
        <w:tc>
          <w:tcPr>
            <w:tcW w:w="1223" w:type="dxa"/>
            <w:shd w:val="clear" w:color="auto" w:fill="auto"/>
            <w:noWrap/>
            <w:tcMar>
              <w:right w:w="170" w:type="dxa"/>
            </w:tcMar>
            <w:vAlign w:val="center"/>
            <w:hideMark/>
          </w:tcPr>
          <w:p w14:paraId="533BD626" w14:textId="77777777" w:rsidR="00C01C52" w:rsidRPr="00571449" w:rsidRDefault="00F60FAA" w:rsidP="00C01C52">
            <w:pPr>
              <w:spacing w:line="240" w:lineRule="auto"/>
              <w:jc w:val="right"/>
              <w:rPr>
                <w:rFonts w:cs="Arial"/>
                <w:szCs w:val="22"/>
              </w:rPr>
            </w:pPr>
            <w:r w:rsidRPr="00571449">
              <w:rPr>
                <w:rFonts w:cs="Arial"/>
                <w:szCs w:val="22"/>
              </w:rPr>
              <w:t>(500)</w:t>
            </w:r>
          </w:p>
        </w:tc>
        <w:tc>
          <w:tcPr>
            <w:tcW w:w="1223" w:type="dxa"/>
            <w:shd w:val="clear" w:color="auto" w:fill="auto"/>
            <w:noWrap/>
            <w:tcMar>
              <w:right w:w="170" w:type="dxa"/>
            </w:tcMar>
            <w:vAlign w:val="center"/>
            <w:hideMark/>
          </w:tcPr>
          <w:p w14:paraId="533BD627"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28"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29"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62A" w14:textId="77777777" w:rsidR="00C01C52" w:rsidRPr="006F669A" w:rsidRDefault="00F60FAA" w:rsidP="00C01C52">
            <w:pPr>
              <w:spacing w:line="240" w:lineRule="auto"/>
              <w:jc w:val="right"/>
              <w:rPr>
                <w:rFonts w:cs="Arial"/>
                <w:szCs w:val="22"/>
              </w:rPr>
            </w:pPr>
            <w:r w:rsidRPr="006F669A">
              <w:rPr>
                <w:rFonts w:cs="Arial"/>
                <w:szCs w:val="22"/>
              </w:rPr>
              <w:t>(500)</w:t>
            </w:r>
          </w:p>
        </w:tc>
      </w:tr>
      <w:tr w:rsidR="002B7C48" w14:paraId="533BD632" w14:textId="77777777" w:rsidTr="00C01C52">
        <w:trPr>
          <w:trHeight w:val="397"/>
        </w:trPr>
        <w:tc>
          <w:tcPr>
            <w:tcW w:w="3381" w:type="dxa"/>
            <w:shd w:val="clear" w:color="auto" w:fill="auto"/>
            <w:noWrap/>
            <w:vAlign w:val="center"/>
          </w:tcPr>
          <w:p w14:paraId="533BD62C" w14:textId="77777777" w:rsidR="00C01C52" w:rsidRPr="005B547E" w:rsidRDefault="00F60FAA" w:rsidP="00C01C52">
            <w:pPr>
              <w:spacing w:line="240" w:lineRule="auto"/>
              <w:jc w:val="left"/>
              <w:rPr>
                <w:rFonts w:cs="Arial"/>
                <w:szCs w:val="22"/>
              </w:rPr>
            </w:pPr>
            <w:proofErr w:type="gramStart"/>
            <w:r>
              <w:rPr>
                <w:rFonts w:cs="Arial"/>
                <w:szCs w:val="22"/>
              </w:rPr>
              <w:t>NEW :</w:t>
            </w:r>
            <w:proofErr w:type="gramEnd"/>
            <w:r>
              <w:rPr>
                <w:rFonts w:cs="Arial"/>
                <w:szCs w:val="22"/>
              </w:rPr>
              <w:t xml:space="preserve"> </w:t>
            </w:r>
            <w:r w:rsidRPr="005B547E">
              <w:rPr>
                <w:rFonts w:cs="Arial"/>
                <w:szCs w:val="22"/>
              </w:rPr>
              <w:t>Credit Union Reserve</w:t>
            </w:r>
          </w:p>
        </w:tc>
        <w:tc>
          <w:tcPr>
            <w:tcW w:w="1223" w:type="dxa"/>
            <w:shd w:val="clear" w:color="auto" w:fill="auto"/>
            <w:noWrap/>
            <w:tcMar>
              <w:right w:w="170" w:type="dxa"/>
            </w:tcMar>
            <w:vAlign w:val="center"/>
          </w:tcPr>
          <w:p w14:paraId="533BD62D" w14:textId="77777777" w:rsidR="00C01C52" w:rsidRPr="005B547E" w:rsidRDefault="00F60FAA" w:rsidP="00C01C52">
            <w:pPr>
              <w:spacing w:line="240" w:lineRule="auto"/>
              <w:jc w:val="right"/>
              <w:rPr>
                <w:rFonts w:cs="Arial"/>
                <w:szCs w:val="22"/>
              </w:rPr>
            </w:pPr>
            <w:r w:rsidRPr="005B547E">
              <w:rPr>
                <w:rFonts w:cs="Arial"/>
                <w:szCs w:val="22"/>
              </w:rPr>
              <w:t>-</w:t>
            </w:r>
          </w:p>
        </w:tc>
        <w:tc>
          <w:tcPr>
            <w:tcW w:w="1223" w:type="dxa"/>
            <w:shd w:val="clear" w:color="auto" w:fill="auto"/>
            <w:noWrap/>
            <w:tcMar>
              <w:right w:w="170" w:type="dxa"/>
            </w:tcMar>
            <w:vAlign w:val="center"/>
          </w:tcPr>
          <w:p w14:paraId="533BD62E" w14:textId="77777777" w:rsidR="00C01C52" w:rsidRPr="006F669A" w:rsidRDefault="00F60FAA" w:rsidP="00C01C52">
            <w:pPr>
              <w:spacing w:line="240" w:lineRule="auto"/>
              <w:jc w:val="right"/>
              <w:rPr>
                <w:rFonts w:cs="Arial"/>
                <w:szCs w:val="22"/>
              </w:rPr>
            </w:pPr>
            <w:r w:rsidRPr="006F669A">
              <w:rPr>
                <w:rFonts w:cs="Arial"/>
                <w:szCs w:val="22"/>
              </w:rPr>
              <w:t>(150)</w:t>
            </w:r>
          </w:p>
        </w:tc>
        <w:tc>
          <w:tcPr>
            <w:tcW w:w="1223" w:type="dxa"/>
            <w:shd w:val="clear" w:color="auto" w:fill="auto"/>
            <w:noWrap/>
            <w:tcMar>
              <w:right w:w="170" w:type="dxa"/>
            </w:tcMar>
            <w:vAlign w:val="center"/>
          </w:tcPr>
          <w:p w14:paraId="533BD62F" w14:textId="77777777" w:rsidR="00C01C52" w:rsidRPr="006F669A" w:rsidRDefault="00F60FAA" w:rsidP="00C01C52">
            <w:pPr>
              <w:spacing w:line="240" w:lineRule="auto"/>
              <w:jc w:val="right"/>
              <w:rPr>
                <w:rFonts w:cs="Arial"/>
                <w:szCs w:val="22"/>
              </w:rPr>
            </w:pPr>
          </w:p>
        </w:tc>
        <w:tc>
          <w:tcPr>
            <w:tcW w:w="1223" w:type="dxa"/>
            <w:shd w:val="clear" w:color="auto" w:fill="auto"/>
            <w:noWrap/>
            <w:tcMar>
              <w:right w:w="170" w:type="dxa"/>
            </w:tcMar>
            <w:vAlign w:val="center"/>
          </w:tcPr>
          <w:p w14:paraId="533BD630" w14:textId="77777777" w:rsidR="00C01C52" w:rsidRPr="006F669A" w:rsidRDefault="00F60FAA" w:rsidP="00C01C52">
            <w:pPr>
              <w:spacing w:line="240" w:lineRule="auto"/>
              <w:jc w:val="right"/>
              <w:rPr>
                <w:rFonts w:cs="Arial"/>
                <w:szCs w:val="22"/>
              </w:rPr>
            </w:pPr>
          </w:p>
        </w:tc>
        <w:tc>
          <w:tcPr>
            <w:tcW w:w="1460" w:type="dxa"/>
            <w:shd w:val="clear" w:color="auto" w:fill="auto"/>
            <w:noWrap/>
            <w:tcMar>
              <w:right w:w="170" w:type="dxa"/>
            </w:tcMar>
            <w:vAlign w:val="center"/>
          </w:tcPr>
          <w:p w14:paraId="533BD631" w14:textId="77777777" w:rsidR="00C01C52" w:rsidRPr="006F669A" w:rsidRDefault="00F60FAA" w:rsidP="00C01C52">
            <w:pPr>
              <w:spacing w:line="240" w:lineRule="auto"/>
              <w:jc w:val="right"/>
              <w:rPr>
                <w:rFonts w:cs="Arial"/>
                <w:szCs w:val="22"/>
              </w:rPr>
            </w:pPr>
            <w:r w:rsidRPr="006F669A">
              <w:rPr>
                <w:rFonts w:cs="Arial"/>
                <w:szCs w:val="22"/>
              </w:rPr>
              <w:t>(150)</w:t>
            </w:r>
          </w:p>
        </w:tc>
      </w:tr>
      <w:tr w:rsidR="002B7C48" w14:paraId="533BD639" w14:textId="77777777" w:rsidTr="00C01C52">
        <w:trPr>
          <w:trHeight w:val="397"/>
        </w:trPr>
        <w:tc>
          <w:tcPr>
            <w:tcW w:w="3381" w:type="dxa"/>
            <w:shd w:val="clear" w:color="auto" w:fill="auto"/>
            <w:noWrap/>
            <w:vAlign w:val="center"/>
            <w:hideMark/>
          </w:tcPr>
          <w:p w14:paraId="533BD633" w14:textId="77777777" w:rsidR="00C01C52" w:rsidRPr="00571449" w:rsidRDefault="00F60FAA" w:rsidP="00C01C52">
            <w:pPr>
              <w:spacing w:line="240" w:lineRule="auto"/>
              <w:jc w:val="left"/>
              <w:rPr>
                <w:rFonts w:cs="Arial"/>
                <w:szCs w:val="22"/>
              </w:rPr>
            </w:pPr>
            <w:r w:rsidRPr="00571449">
              <w:rPr>
                <w:rFonts w:cs="Arial"/>
                <w:szCs w:val="22"/>
              </w:rPr>
              <w:t>Transformation Fund</w:t>
            </w:r>
          </w:p>
        </w:tc>
        <w:tc>
          <w:tcPr>
            <w:tcW w:w="1223" w:type="dxa"/>
            <w:shd w:val="clear" w:color="auto" w:fill="auto"/>
            <w:noWrap/>
            <w:tcMar>
              <w:right w:w="170" w:type="dxa"/>
            </w:tcMar>
            <w:vAlign w:val="center"/>
            <w:hideMark/>
          </w:tcPr>
          <w:p w14:paraId="533BD634" w14:textId="77777777" w:rsidR="00C01C52" w:rsidRPr="00571449" w:rsidRDefault="00F60FAA" w:rsidP="00C01C52">
            <w:pPr>
              <w:spacing w:line="240" w:lineRule="auto"/>
              <w:jc w:val="right"/>
              <w:rPr>
                <w:rFonts w:cs="Arial"/>
                <w:szCs w:val="22"/>
              </w:rPr>
            </w:pPr>
            <w:r w:rsidRPr="00571449">
              <w:rPr>
                <w:rFonts w:cs="Arial"/>
                <w:szCs w:val="22"/>
              </w:rPr>
              <w:t>(500)</w:t>
            </w:r>
          </w:p>
        </w:tc>
        <w:tc>
          <w:tcPr>
            <w:tcW w:w="1223" w:type="dxa"/>
            <w:shd w:val="clear" w:color="auto" w:fill="auto"/>
            <w:noWrap/>
            <w:tcMar>
              <w:right w:w="170" w:type="dxa"/>
            </w:tcMar>
            <w:vAlign w:val="center"/>
            <w:hideMark/>
          </w:tcPr>
          <w:p w14:paraId="533BD635"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36"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37" w14:textId="77777777" w:rsidR="00C01C52" w:rsidRPr="006F669A" w:rsidRDefault="00F60FAA" w:rsidP="00C01C52">
            <w:pPr>
              <w:spacing w:line="240" w:lineRule="auto"/>
              <w:jc w:val="right"/>
              <w:rPr>
                <w:rFonts w:cs="Arial"/>
                <w:szCs w:val="22"/>
              </w:rPr>
            </w:pPr>
            <w:r w:rsidRPr="006F669A">
              <w:rPr>
                <w:rFonts w:cs="Arial"/>
                <w:szCs w:val="22"/>
              </w:rPr>
              <w:t>2</w:t>
            </w:r>
            <w:r>
              <w:rPr>
                <w:rFonts w:cs="Arial"/>
                <w:szCs w:val="22"/>
              </w:rPr>
              <w:t>10</w:t>
            </w:r>
          </w:p>
        </w:tc>
        <w:tc>
          <w:tcPr>
            <w:tcW w:w="1460" w:type="dxa"/>
            <w:shd w:val="clear" w:color="auto" w:fill="auto"/>
            <w:noWrap/>
            <w:tcMar>
              <w:right w:w="170" w:type="dxa"/>
            </w:tcMar>
            <w:vAlign w:val="center"/>
            <w:hideMark/>
          </w:tcPr>
          <w:p w14:paraId="533BD638" w14:textId="77777777" w:rsidR="00C01C52" w:rsidRPr="006F669A" w:rsidRDefault="00F60FAA" w:rsidP="00C01C52">
            <w:pPr>
              <w:spacing w:line="240" w:lineRule="auto"/>
              <w:jc w:val="right"/>
              <w:rPr>
                <w:rFonts w:cs="Arial"/>
                <w:szCs w:val="22"/>
              </w:rPr>
            </w:pPr>
            <w:r w:rsidRPr="006F669A">
              <w:rPr>
                <w:rFonts w:cs="Arial"/>
                <w:szCs w:val="22"/>
              </w:rPr>
              <w:t>(</w:t>
            </w:r>
            <w:r>
              <w:rPr>
                <w:rFonts w:cs="Arial"/>
                <w:szCs w:val="22"/>
              </w:rPr>
              <w:t>290</w:t>
            </w:r>
            <w:r w:rsidRPr="006F669A">
              <w:rPr>
                <w:rFonts w:cs="Arial"/>
                <w:szCs w:val="22"/>
              </w:rPr>
              <w:t>)</w:t>
            </w:r>
          </w:p>
        </w:tc>
      </w:tr>
      <w:tr w:rsidR="002B7C48" w14:paraId="533BD640" w14:textId="77777777" w:rsidTr="00C01C52">
        <w:trPr>
          <w:trHeight w:val="397"/>
        </w:trPr>
        <w:tc>
          <w:tcPr>
            <w:tcW w:w="3381" w:type="dxa"/>
            <w:shd w:val="clear" w:color="auto" w:fill="auto"/>
            <w:noWrap/>
            <w:vAlign w:val="center"/>
            <w:hideMark/>
          </w:tcPr>
          <w:p w14:paraId="533BD63A" w14:textId="77777777" w:rsidR="00C01C52" w:rsidRPr="00571449" w:rsidRDefault="00F60FAA" w:rsidP="00C01C52">
            <w:pPr>
              <w:spacing w:line="240" w:lineRule="auto"/>
              <w:jc w:val="left"/>
              <w:rPr>
                <w:rFonts w:cs="Arial"/>
                <w:szCs w:val="22"/>
              </w:rPr>
            </w:pPr>
            <w:r w:rsidRPr="00571449">
              <w:rPr>
                <w:rFonts w:cs="Arial"/>
                <w:szCs w:val="22"/>
              </w:rPr>
              <w:t>Apprenticeship Reserve</w:t>
            </w:r>
          </w:p>
        </w:tc>
        <w:tc>
          <w:tcPr>
            <w:tcW w:w="1223" w:type="dxa"/>
            <w:shd w:val="clear" w:color="auto" w:fill="auto"/>
            <w:noWrap/>
            <w:tcMar>
              <w:right w:w="170" w:type="dxa"/>
            </w:tcMar>
            <w:vAlign w:val="center"/>
            <w:hideMark/>
          </w:tcPr>
          <w:p w14:paraId="533BD63B" w14:textId="77777777" w:rsidR="00C01C52" w:rsidRPr="00571449" w:rsidRDefault="00F60FAA" w:rsidP="00C01C52">
            <w:pPr>
              <w:spacing w:line="240" w:lineRule="auto"/>
              <w:jc w:val="right"/>
              <w:rPr>
                <w:rFonts w:cs="Arial"/>
                <w:szCs w:val="22"/>
              </w:rPr>
            </w:pPr>
            <w:r w:rsidRPr="00571449">
              <w:rPr>
                <w:rFonts w:cs="Arial"/>
                <w:szCs w:val="22"/>
              </w:rPr>
              <w:t>(267)</w:t>
            </w:r>
          </w:p>
        </w:tc>
        <w:tc>
          <w:tcPr>
            <w:tcW w:w="1223" w:type="dxa"/>
            <w:shd w:val="clear" w:color="auto" w:fill="auto"/>
            <w:noWrap/>
            <w:tcMar>
              <w:right w:w="170" w:type="dxa"/>
            </w:tcMar>
            <w:vAlign w:val="center"/>
            <w:hideMark/>
          </w:tcPr>
          <w:p w14:paraId="533BD63C"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shd w:val="clear" w:color="auto" w:fill="auto"/>
            <w:noWrap/>
            <w:tcMar>
              <w:right w:w="170" w:type="dxa"/>
            </w:tcMar>
            <w:vAlign w:val="center"/>
            <w:hideMark/>
          </w:tcPr>
          <w:p w14:paraId="533BD63D" w14:textId="77777777" w:rsidR="00C01C52" w:rsidRPr="006F669A" w:rsidRDefault="00F60FAA" w:rsidP="00C01C52">
            <w:pPr>
              <w:spacing w:line="240" w:lineRule="auto"/>
              <w:jc w:val="right"/>
              <w:rPr>
                <w:rFonts w:cs="Arial"/>
                <w:szCs w:val="22"/>
              </w:rPr>
            </w:pPr>
          </w:p>
        </w:tc>
        <w:tc>
          <w:tcPr>
            <w:tcW w:w="1223" w:type="dxa"/>
            <w:shd w:val="clear" w:color="auto" w:fill="auto"/>
            <w:noWrap/>
            <w:tcMar>
              <w:right w:w="170" w:type="dxa"/>
            </w:tcMar>
            <w:vAlign w:val="center"/>
            <w:hideMark/>
          </w:tcPr>
          <w:p w14:paraId="533BD63E" w14:textId="77777777" w:rsidR="00C01C52" w:rsidRPr="006F669A" w:rsidRDefault="00F60FAA" w:rsidP="00C01C52">
            <w:pPr>
              <w:spacing w:line="240" w:lineRule="auto"/>
              <w:jc w:val="right"/>
              <w:rPr>
                <w:rFonts w:cs="Arial"/>
                <w:szCs w:val="22"/>
              </w:rPr>
            </w:pPr>
            <w:r w:rsidRPr="006F669A">
              <w:rPr>
                <w:rFonts w:cs="Arial"/>
                <w:szCs w:val="22"/>
              </w:rPr>
              <w:t>-</w:t>
            </w:r>
          </w:p>
        </w:tc>
        <w:tc>
          <w:tcPr>
            <w:tcW w:w="1460" w:type="dxa"/>
            <w:shd w:val="clear" w:color="auto" w:fill="auto"/>
            <w:noWrap/>
            <w:tcMar>
              <w:right w:w="170" w:type="dxa"/>
            </w:tcMar>
            <w:vAlign w:val="center"/>
            <w:hideMark/>
          </w:tcPr>
          <w:p w14:paraId="533BD63F" w14:textId="77777777" w:rsidR="00C01C52" w:rsidRPr="006F669A" w:rsidRDefault="00F60FAA" w:rsidP="00C01C52">
            <w:pPr>
              <w:spacing w:line="240" w:lineRule="auto"/>
              <w:jc w:val="right"/>
              <w:rPr>
                <w:rFonts w:cs="Arial"/>
                <w:szCs w:val="22"/>
              </w:rPr>
            </w:pPr>
            <w:r w:rsidRPr="006F669A">
              <w:rPr>
                <w:rFonts w:cs="Arial"/>
                <w:szCs w:val="22"/>
              </w:rPr>
              <w:t>(267)</w:t>
            </w:r>
          </w:p>
        </w:tc>
      </w:tr>
      <w:tr w:rsidR="002B7C48" w14:paraId="533BD647" w14:textId="77777777" w:rsidTr="00C01C52">
        <w:trPr>
          <w:trHeight w:val="397"/>
        </w:trPr>
        <w:tc>
          <w:tcPr>
            <w:tcW w:w="3381" w:type="dxa"/>
            <w:shd w:val="clear" w:color="auto" w:fill="auto"/>
            <w:noWrap/>
            <w:vAlign w:val="center"/>
            <w:hideMark/>
          </w:tcPr>
          <w:p w14:paraId="533BD641" w14:textId="77777777" w:rsidR="00C01C52" w:rsidRPr="00571449" w:rsidRDefault="00F60FAA" w:rsidP="00C01C52">
            <w:pPr>
              <w:spacing w:line="240" w:lineRule="auto"/>
              <w:jc w:val="left"/>
              <w:rPr>
                <w:rFonts w:cs="Arial"/>
                <w:szCs w:val="22"/>
              </w:rPr>
            </w:pPr>
            <w:r w:rsidRPr="00571449">
              <w:rPr>
                <w:rFonts w:cs="Arial"/>
                <w:szCs w:val="22"/>
              </w:rPr>
              <w:t>Other Earmarked Reserves</w:t>
            </w:r>
          </w:p>
        </w:tc>
        <w:tc>
          <w:tcPr>
            <w:tcW w:w="1223" w:type="dxa"/>
            <w:tcBorders>
              <w:bottom w:val="single" w:sz="4" w:space="0" w:color="auto"/>
            </w:tcBorders>
            <w:shd w:val="clear" w:color="auto" w:fill="auto"/>
            <w:noWrap/>
            <w:tcMar>
              <w:right w:w="170" w:type="dxa"/>
            </w:tcMar>
            <w:vAlign w:val="center"/>
            <w:hideMark/>
          </w:tcPr>
          <w:p w14:paraId="533BD642" w14:textId="77777777" w:rsidR="00C01C52" w:rsidRPr="00571449" w:rsidRDefault="00F60FAA" w:rsidP="00C01C52">
            <w:pPr>
              <w:spacing w:line="240" w:lineRule="auto"/>
              <w:jc w:val="right"/>
              <w:rPr>
                <w:rFonts w:cs="Arial"/>
                <w:szCs w:val="22"/>
              </w:rPr>
            </w:pPr>
            <w:r w:rsidRPr="00571449">
              <w:rPr>
                <w:rFonts w:cs="Arial"/>
                <w:szCs w:val="22"/>
              </w:rPr>
              <w:t>(864)</w:t>
            </w:r>
          </w:p>
        </w:tc>
        <w:tc>
          <w:tcPr>
            <w:tcW w:w="1223" w:type="dxa"/>
            <w:tcBorders>
              <w:bottom w:val="single" w:sz="4" w:space="0" w:color="auto"/>
            </w:tcBorders>
            <w:shd w:val="clear" w:color="auto" w:fill="auto"/>
            <w:noWrap/>
            <w:tcMar>
              <w:right w:w="170" w:type="dxa"/>
            </w:tcMar>
            <w:vAlign w:val="center"/>
            <w:hideMark/>
          </w:tcPr>
          <w:p w14:paraId="533BD643" w14:textId="77777777" w:rsidR="00C01C52" w:rsidRPr="006F669A" w:rsidRDefault="00F60FAA" w:rsidP="00C01C52">
            <w:pPr>
              <w:spacing w:line="240" w:lineRule="auto"/>
              <w:jc w:val="right"/>
              <w:rPr>
                <w:rFonts w:cs="Arial"/>
                <w:szCs w:val="22"/>
              </w:rPr>
            </w:pPr>
            <w:r w:rsidRPr="006F669A">
              <w:rPr>
                <w:rFonts w:cs="Arial"/>
                <w:szCs w:val="22"/>
              </w:rPr>
              <w:t>-</w:t>
            </w:r>
          </w:p>
        </w:tc>
        <w:tc>
          <w:tcPr>
            <w:tcW w:w="1223" w:type="dxa"/>
            <w:tcBorders>
              <w:bottom w:val="single" w:sz="4" w:space="0" w:color="auto"/>
            </w:tcBorders>
            <w:shd w:val="clear" w:color="auto" w:fill="auto"/>
            <w:noWrap/>
            <w:tcMar>
              <w:right w:w="170" w:type="dxa"/>
            </w:tcMar>
            <w:vAlign w:val="center"/>
            <w:hideMark/>
          </w:tcPr>
          <w:p w14:paraId="533BD644" w14:textId="77777777" w:rsidR="00C01C52" w:rsidRPr="006F669A" w:rsidRDefault="00F60FAA" w:rsidP="00C01C52">
            <w:pPr>
              <w:spacing w:line="240" w:lineRule="auto"/>
              <w:jc w:val="right"/>
              <w:rPr>
                <w:rFonts w:cs="Arial"/>
                <w:szCs w:val="22"/>
              </w:rPr>
            </w:pPr>
            <w:r w:rsidRPr="006F669A">
              <w:rPr>
                <w:rFonts w:cs="Arial"/>
                <w:szCs w:val="22"/>
              </w:rPr>
              <w:t>1</w:t>
            </w:r>
            <w:r>
              <w:rPr>
                <w:rFonts w:cs="Arial"/>
                <w:szCs w:val="22"/>
              </w:rPr>
              <w:t>80</w:t>
            </w:r>
          </w:p>
        </w:tc>
        <w:tc>
          <w:tcPr>
            <w:tcW w:w="1223" w:type="dxa"/>
            <w:tcBorders>
              <w:bottom w:val="single" w:sz="4" w:space="0" w:color="auto"/>
            </w:tcBorders>
            <w:shd w:val="clear" w:color="auto" w:fill="auto"/>
            <w:noWrap/>
            <w:tcMar>
              <w:right w:w="170" w:type="dxa"/>
            </w:tcMar>
            <w:vAlign w:val="center"/>
            <w:hideMark/>
          </w:tcPr>
          <w:p w14:paraId="533BD645" w14:textId="77777777" w:rsidR="00C01C52" w:rsidRPr="006F669A" w:rsidRDefault="00F60FAA" w:rsidP="00C01C52">
            <w:pPr>
              <w:spacing w:line="240" w:lineRule="auto"/>
              <w:jc w:val="right"/>
              <w:rPr>
                <w:rFonts w:cs="Arial"/>
                <w:szCs w:val="22"/>
              </w:rPr>
            </w:pPr>
            <w:r>
              <w:rPr>
                <w:rFonts w:cs="Arial"/>
                <w:szCs w:val="22"/>
              </w:rPr>
              <w:t>90</w:t>
            </w:r>
          </w:p>
        </w:tc>
        <w:tc>
          <w:tcPr>
            <w:tcW w:w="1460" w:type="dxa"/>
            <w:tcBorders>
              <w:bottom w:val="single" w:sz="4" w:space="0" w:color="auto"/>
            </w:tcBorders>
            <w:shd w:val="clear" w:color="auto" w:fill="auto"/>
            <w:noWrap/>
            <w:tcMar>
              <w:right w:w="170" w:type="dxa"/>
            </w:tcMar>
            <w:vAlign w:val="center"/>
            <w:hideMark/>
          </w:tcPr>
          <w:p w14:paraId="533BD646" w14:textId="77777777" w:rsidR="00C01C52" w:rsidRPr="006F669A" w:rsidRDefault="00F60FAA" w:rsidP="00C01C52">
            <w:pPr>
              <w:spacing w:line="240" w:lineRule="auto"/>
              <w:jc w:val="right"/>
              <w:rPr>
                <w:rFonts w:cs="Arial"/>
                <w:szCs w:val="22"/>
              </w:rPr>
            </w:pPr>
            <w:r w:rsidRPr="006F669A">
              <w:rPr>
                <w:rFonts w:cs="Arial"/>
                <w:szCs w:val="22"/>
              </w:rPr>
              <w:t>(</w:t>
            </w:r>
            <w:r>
              <w:rPr>
                <w:rFonts w:cs="Arial"/>
                <w:szCs w:val="22"/>
              </w:rPr>
              <w:t>594</w:t>
            </w:r>
            <w:r w:rsidRPr="006F669A">
              <w:rPr>
                <w:rFonts w:cs="Arial"/>
                <w:szCs w:val="22"/>
              </w:rPr>
              <w:t>)</w:t>
            </w:r>
          </w:p>
        </w:tc>
      </w:tr>
      <w:tr w:rsidR="002B7C48" w14:paraId="533BD64E" w14:textId="77777777" w:rsidTr="00C01C52">
        <w:trPr>
          <w:trHeight w:val="397"/>
        </w:trPr>
        <w:tc>
          <w:tcPr>
            <w:tcW w:w="3381" w:type="dxa"/>
            <w:shd w:val="clear" w:color="auto" w:fill="auto"/>
            <w:noWrap/>
            <w:vAlign w:val="center"/>
            <w:hideMark/>
          </w:tcPr>
          <w:p w14:paraId="533BD648" w14:textId="77777777" w:rsidR="00C01C52" w:rsidRPr="00571449" w:rsidRDefault="00F60FAA" w:rsidP="00C01C52">
            <w:pPr>
              <w:spacing w:line="240" w:lineRule="auto"/>
              <w:jc w:val="left"/>
              <w:rPr>
                <w:rFonts w:cs="Arial"/>
                <w:b/>
                <w:bCs/>
                <w:color w:val="000000"/>
                <w:szCs w:val="22"/>
              </w:rPr>
            </w:pPr>
            <w:r w:rsidRPr="00571449">
              <w:rPr>
                <w:rFonts w:cs="Arial"/>
                <w:b/>
                <w:bCs/>
                <w:color w:val="000000"/>
                <w:szCs w:val="22"/>
              </w:rPr>
              <w:t xml:space="preserve">Total </w:t>
            </w:r>
          </w:p>
        </w:tc>
        <w:tc>
          <w:tcPr>
            <w:tcW w:w="1223"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533BD649" w14:textId="77777777" w:rsidR="00C01C52" w:rsidRPr="00571449" w:rsidRDefault="00F60FAA" w:rsidP="00C01C52">
            <w:pPr>
              <w:spacing w:line="240" w:lineRule="auto"/>
              <w:jc w:val="right"/>
              <w:rPr>
                <w:rFonts w:cs="Arial"/>
                <w:b/>
                <w:bCs/>
                <w:color w:val="000000"/>
                <w:szCs w:val="22"/>
              </w:rPr>
            </w:pPr>
            <w:r w:rsidRPr="00571449">
              <w:rPr>
                <w:rFonts w:cs="Arial"/>
                <w:b/>
                <w:bCs/>
                <w:color w:val="000000"/>
                <w:szCs w:val="22"/>
              </w:rPr>
              <w:t>(14,839)</w:t>
            </w:r>
          </w:p>
        </w:tc>
        <w:tc>
          <w:tcPr>
            <w:tcW w:w="1223"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533BD64A" w14:textId="77777777" w:rsidR="00C01C52" w:rsidRPr="006F669A" w:rsidRDefault="00F60FAA" w:rsidP="00C01C52">
            <w:pPr>
              <w:spacing w:line="240" w:lineRule="auto"/>
              <w:jc w:val="right"/>
              <w:rPr>
                <w:rFonts w:cs="Arial"/>
                <w:b/>
                <w:bCs/>
                <w:szCs w:val="22"/>
              </w:rPr>
            </w:pPr>
            <w:r w:rsidRPr="006F669A">
              <w:rPr>
                <w:rFonts w:cs="Arial"/>
                <w:b/>
                <w:bCs/>
                <w:szCs w:val="22"/>
              </w:rPr>
              <w:t>(1,</w:t>
            </w:r>
            <w:r>
              <w:rPr>
                <w:rFonts w:cs="Arial"/>
                <w:b/>
                <w:bCs/>
                <w:szCs w:val="22"/>
              </w:rPr>
              <w:t>415</w:t>
            </w:r>
            <w:r w:rsidRPr="006F669A">
              <w:rPr>
                <w:rFonts w:cs="Arial"/>
                <w:b/>
                <w:bCs/>
                <w:szCs w:val="22"/>
              </w:rPr>
              <w:t>)</w:t>
            </w:r>
          </w:p>
        </w:tc>
        <w:tc>
          <w:tcPr>
            <w:tcW w:w="1223"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533BD64B" w14:textId="77777777" w:rsidR="00C01C52" w:rsidRPr="006F669A" w:rsidRDefault="00F60FAA" w:rsidP="00C01C52">
            <w:pPr>
              <w:spacing w:line="240" w:lineRule="auto"/>
              <w:jc w:val="right"/>
              <w:rPr>
                <w:rFonts w:cs="Arial"/>
                <w:b/>
                <w:bCs/>
                <w:szCs w:val="22"/>
              </w:rPr>
            </w:pPr>
            <w:r>
              <w:rPr>
                <w:rFonts w:cs="Arial"/>
                <w:b/>
                <w:bCs/>
                <w:szCs w:val="22"/>
              </w:rPr>
              <w:t>653</w:t>
            </w:r>
          </w:p>
        </w:tc>
        <w:tc>
          <w:tcPr>
            <w:tcW w:w="1223"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533BD64C" w14:textId="77777777" w:rsidR="00C01C52" w:rsidRPr="006F669A" w:rsidRDefault="00F60FAA" w:rsidP="00C01C52">
            <w:pPr>
              <w:spacing w:line="240" w:lineRule="auto"/>
              <w:jc w:val="right"/>
              <w:rPr>
                <w:rFonts w:cs="Arial"/>
                <w:b/>
                <w:bCs/>
                <w:szCs w:val="22"/>
              </w:rPr>
            </w:pPr>
            <w:r>
              <w:rPr>
                <w:rFonts w:cs="Arial"/>
                <w:b/>
                <w:bCs/>
                <w:szCs w:val="22"/>
              </w:rPr>
              <w:t>982</w:t>
            </w:r>
          </w:p>
        </w:tc>
        <w:tc>
          <w:tcPr>
            <w:tcW w:w="1460"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533BD64D" w14:textId="77777777" w:rsidR="00C01C52" w:rsidRPr="006F669A" w:rsidRDefault="00F60FAA" w:rsidP="00C01C52">
            <w:pPr>
              <w:spacing w:line="240" w:lineRule="auto"/>
              <w:jc w:val="right"/>
              <w:rPr>
                <w:rFonts w:cs="Arial"/>
                <w:b/>
                <w:bCs/>
                <w:szCs w:val="22"/>
              </w:rPr>
            </w:pPr>
            <w:r w:rsidRPr="006F669A">
              <w:rPr>
                <w:rFonts w:cs="Arial"/>
                <w:b/>
                <w:bCs/>
                <w:szCs w:val="22"/>
              </w:rPr>
              <w:t>(</w:t>
            </w:r>
            <w:r>
              <w:rPr>
                <w:rFonts w:cs="Arial"/>
                <w:b/>
                <w:bCs/>
                <w:szCs w:val="22"/>
              </w:rPr>
              <w:t>14</w:t>
            </w:r>
            <w:r w:rsidRPr="006F669A">
              <w:rPr>
                <w:rFonts w:cs="Arial"/>
                <w:b/>
                <w:bCs/>
                <w:szCs w:val="22"/>
              </w:rPr>
              <w:t>,</w:t>
            </w:r>
            <w:r>
              <w:rPr>
                <w:rFonts w:cs="Arial"/>
                <w:b/>
                <w:bCs/>
                <w:szCs w:val="22"/>
              </w:rPr>
              <w:t>619</w:t>
            </w:r>
            <w:r w:rsidRPr="006F669A">
              <w:rPr>
                <w:rFonts w:cs="Arial"/>
                <w:b/>
                <w:bCs/>
                <w:szCs w:val="22"/>
              </w:rPr>
              <w:t>)</w:t>
            </w:r>
          </w:p>
        </w:tc>
      </w:tr>
      <w:tr w:rsidR="002B7C48" w14:paraId="533BD655" w14:textId="77777777" w:rsidTr="00C01C52">
        <w:trPr>
          <w:trHeight w:val="397"/>
        </w:trPr>
        <w:tc>
          <w:tcPr>
            <w:tcW w:w="3381" w:type="dxa"/>
            <w:shd w:val="clear" w:color="auto" w:fill="auto"/>
            <w:vAlign w:val="center"/>
            <w:hideMark/>
          </w:tcPr>
          <w:p w14:paraId="533BD64F" w14:textId="77777777" w:rsidR="00C01C52" w:rsidRPr="00571449" w:rsidRDefault="00F60FAA" w:rsidP="00C01C52">
            <w:pPr>
              <w:spacing w:line="240" w:lineRule="auto"/>
              <w:jc w:val="left"/>
              <w:rPr>
                <w:rFonts w:cs="Arial"/>
                <w:color w:val="000000"/>
                <w:szCs w:val="22"/>
              </w:rPr>
            </w:pPr>
            <w:r w:rsidRPr="00571449">
              <w:rPr>
                <w:rFonts w:cs="Arial"/>
                <w:color w:val="000000"/>
                <w:szCs w:val="22"/>
              </w:rPr>
              <w:t>General Reserve</w:t>
            </w:r>
          </w:p>
        </w:tc>
        <w:tc>
          <w:tcPr>
            <w:tcW w:w="1223" w:type="dxa"/>
            <w:tcBorders>
              <w:top w:val="single" w:sz="4" w:space="0" w:color="BFBFBF" w:themeColor="background1" w:themeShade="BF"/>
              <w:bottom w:val="single" w:sz="4" w:space="0" w:color="auto"/>
            </w:tcBorders>
            <w:shd w:val="clear" w:color="auto" w:fill="auto"/>
            <w:tcMar>
              <w:right w:w="170" w:type="dxa"/>
            </w:tcMar>
            <w:vAlign w:val="center"/>
            <w:hideMark/>
          </w:tcPr>
          <w:p w14:paraId="533BD650" w14:textId="77777777" w:rsidR="00C01C52" w:rsidRPr="00571449" w:rsidRDefault="00F60FAA" w:rsidP="00C01C52">
            <w:pPr>
              <w:spacing w:line="240" w:lineRule="auto"/>
              <w:jc w:val="right"/>
              <w:rPr>
                <w:rFonts w:cs="Arial"/>
                <w:color w:val="000000"/>
                <w:szCs w:val="22"/>
              </w:rPr>
            </w:pPr>
            <w:r w:rsidRPr="00571449">
              <w:rPr>
                <w:rFonts w:cs="Arial"/>
                <w:color w:val="000000"/>
                <w:szCs w:val="22"/>
              </w:rPr>
              <w:t>(4,680)</w:t>
            </w:r>
          </w:p>
        </w:tc>
        <w:tc>
          <w:tcPr>
            <w:tcW w:w="1223" w:type="dxa"/>
            <w:tcBorders>
              <w:top w:val="single" w:sz="4" w:space="0" w:color="BFBFBF" w:themeColor="background1" w:themeShade="BF"/>
              <w:bottom w:val="single" w:sz="4" w:space="0" w:color="auto"/>
            </w:tcBorders>
            <w:shd w:val="clear" w:color="auto" w:fill="auto"/>
            <w:tcMar>
              <w:right w:w="170" w:type="dxa"/>
            </w:tcMar>
            <w:vAlign w:val="center"/>
            <w:hideMark/>
          </w:tcPr>
          <w:p w14:paraId="533BD651" w14:textId="77777777" w:rsidR="00C01C52" w:rsidRPr="006F669A" w:rsidRDefault="00F60FAA" w:rsidP="00C01C52">
            <w:pPr>
              <w:spacing w:line="240" w:lineRule="auto"/>
              <w:jc w:val="right"/>
              <w:rPr>
                <w:rFonts w:cs="Arial"/>
                <w:szCs w:val="22"/>
              </w:rPr>
            </w:pPr>
            <w:r w:rsidRPr="006F669A">
              <w:rPr>
                <w:rFonts w:cs="Arial"/>
                <w:szCs w:val="22"/>
              </w:rPr>
              <w:t>(</w:t>
            </w:r>
            <w:r>
              <w:rPr>
                <w:rFonts w:cs="Arial"/>
                <w:szCs w:val="22"/>
              </w:rPr>
              <w:t>122</w:t>
            </w:r>
            <w:r w:rsidRPr="006F669A">
              <w:rPr>
                <w:rFonts w:cs="Arial"/>
                <w:szCs w:val="22"/>
              </w:rPr>
              <w:t>)</w:t>
            </w:r>
          </w:p>
        </w:tc>
        <w:tc>
          <w:tcPr>
            <w:tcW w:w="1223" w:type="dxa"/>
            <w:tcBorders>
              <w:top w:val="single" w:sz="4" w:space="0" w:color="BFBFBF" w:themeColor="background1" w:themeShade="BF"/>
              <w:bottom w:val="single" w:sz="4" w:space="0" w:color="auto"/>
            </w:tcBorders>
            <w:shd w:val="clear" w:color="auto" w:fill="auto"/>
            <w:tcMar>
              <w:right w:w="170" w:type="dxa"/>
            </w:tcMar>
            <w:vAlign w:val="center"/>
            <w:hideMark/>
          </w:tcPr>
          <w:p w14:paraId="533BD652" w14:textId="77777777" w:rsidR="00C01C52" w:rsidRPr="006F669A" w:rsidRDefault="00F60FAA" w:rsidP="00C01C52">
            <w:pPr>
              <w:spacing w:line="240" w:lineRule="auto"/>
              <w:jc w:val="right"/>
              <w:rPr>
                <w:rFonts w:ascii="Times New Roman" w:hAnsi="Times New Roman"/>
                <w:sz w:val="20"/>
              </w:rPr>
            </w:pPr>
            <w:r w:rsidRPr="006F669A">
              <w:rPr>
                <w:rFonts w:ascii="Times New Roman" w:hAnsi="Times New Roman"/>
                <w:sz w:val="20"/>
              </w:rPr>
              <w:t>-</w:t>
            </w:r>
          </w:p>
        </w:tc>
        <w:tc>
          <w:tcPr>
            <w:tcW w:w="1223" w:type="dxa"/>
            <w:tcBorders>
              <w:top w:val="single" w:sz="4" w:space="0" w:color="BFBFBF" w:themeColor="background1" w:themeShade="BF"/>
              <w:bottom w:val="single" w:sz="4" w:space="0" w:color="auto"/>
            </w:tcBorders>
            <w:shd w:val="clear" w:color="auto" w:fill="auto"/>
            <w:tcMar>
              <w:right w:w="170" w:type="dxa"/>
            </w:tcMar>
            <w:vAlign w:val="center"/>
            <w:hideMark/>
          </w:tcPr>
          <w:p w14:paraId="533BD653" w14:textId="77777777" w:rsidR="00C01C52" w:rsidRPr="006F669A" w:rsidRDefault="00F60FAA" w:rsidP="00C01C52">
            <w:pPr>
              <w:spacing w:line="240" w:lineRule="auto"/>
              <w:jc w:val="right"/>
              <w:rPr>
                <w:rFonts w:ascii="Times New Roman" w:hAnsi="Times New Roman"/>
                <w:sz w:val="20"/>
              </w:rPr>
            </w:pPr>
            <w:r w:rsidRPr="006F669A">
              <w:rPr>
                <w:rFonts w:ascii="Times New Roman" w:hAnsi="Times New Roman"/>
                <w:sz w:val="20"/>
              </w:rPr>
              <w:t>-</w:t>
            </w:r>
          </w:p>
        </w:tc>
        <w:tc>
          <w:tcPr>
            <w:tcW w:w="1460" w:type="dxa"/>
            <w:tcBorders>
              <w:top w:val="single" w:sz="4" w:space="0" w:color="BFBFBF" w:themeColor="background1" w:themeShade="BF"/>
              <w:bottom w:val="single" w:sz="4" w:space="0" w:color="auto"/>
            </w:tcBorders>
            <w:shd w:val="clear" w:color="auto" w:fill="auto"/>
            <w:noWrap/>
            <w:tcMar>
              <w:right w:w="170" w:type="dxa"/>
            </w:tcMar>
            <w:vAlign w:val="center"/>
            <w:hideMark/>
          </w:tcPr>
          <w:p w14:paraId="533BD654" w14:textId="77777777" w:rsidR="00C01C52" w:rsidRPr="006F669A" w:rsidRDefault="00F60FAA" w:rsidP="00C01C52">
            <w:pPr>
              <w:spacing w:line="240" w:lineRule="auto"/>
              <w:jc w:val="right"/>
              <w:rPr>
                <w:rFonts w:cs="Arial"/>
                <w:szCs w:val="22"/>
              </w:rPr>
            </w:pPr>
            <w:r w:rsidRPr="006F669A">
              <w:rPr>
                <w:rFonts w:cs="Arial"/>
                <w:szCs w:val="22"/>
              </w:rPr>
              <w:t>(</w:t>
            </w:r>
            <w:r>
              <w:rPr>
                <w:rFonts w:cs="Arial"/>
                <w:szCs w:val="22"/>
              </w:rPr>
              <w:t>4</w:t>
            </w:r>
            <w:r w:rsidRPr="006F669A">
              <w:rPr>
                <w:rFonts w:cs="Arial"/>
                <w:szCs w:val="22"/>
              </w:rPr>
              <w:t>,</w:t>
            </w:r>
            <w:r>
              <w:rPr>
                <w:rFonts w:cs="Arial"/>
                <w:szCs w:val="22"/>
              </w:rPr>
              <w:t>802</w:t>
            </w:r>
            <w:r w:rsidRPr="006F669A">
              <w:rPr>
                <w:rFonts w:cs="Arial"/>
                <w:szCs w:val="22"/>
              </w:rPr>
              <w:t>)</w:t>
            </w:r>
          </w:p>
        </w:tc>
      </w:tr>
      <w:tr w:rsidR="002B7C48" w14:paraId="533BD65C" w14:textId="77777777" w:rsidTr="00C01C52">
        <w:trPr>
          <w:trHeight w:val="397"/>
        </w:trPr>
        <w:tc>
          <w:tcPr>
            <w:tcW w:w="3381" w:type="dxa"/>
            <w:shd w:val="clear" w:color="auto" w:fill="auto"/>
            <w:vAlign w:val="center"/>
            <w:hideMark/>
          </w:tcPr>
          <w:p w14:paraId="533BD656" w14:textId="77777777" w:rsidR="00C01C52" w:rsidRPr="00571449" w:rsidRDefault="00F60FAA" w:rsidP="00C01C52">
            <w:pPr>
              <w:spacing w:line="240" w:lineRule="auto"/>
              <w:jc w:val="left"/>
              <w:rPr>
                <w:rFonts w:cs="Arial"/>
                <w:b/>
                <w:bCs/>
                <w:color w:val="000000"/>
                <w:szCs w:val="22"/>
              </w:rPr>
            </w:pPr>
            <w:r w:rsidRPr="00571449">
              <w:rPr>
                <w:rFonts w:cs="Arial"/>
                <w:b/>
                <w:bCs/>
                <w:color w:val="000000"/>
                <w:szCs w:val="22"/>
              </w:rPr>
              <w:t>Total General Fund Reserves</w:t>
            </w:r>
          </w:p>
        </w:tc>
        <w:tc>
          <w:tcPr>
            <w:tcW w:w="1223" w:type="dxa"/>
            <w:tcBorders>
              <w:top w:val="single" w:sz="4" w:space="0" w:color="auto"/>
              <w:bottom w:val="single" w:sz="4" w:space="0" w:color="auto"/>
            </w:tcBorders>
            <w:shd w:val="clear" w:color="auto" w:fill="auto"/>
            <w:tcMar>
              <w:right w:w="170" w:type="dxa"/>
            </w:tcMar>
            <w:vAlign w:val="center"/>
            <w:hideMark/>
          </w:tcPr>
          <w:p w14:paraId="533BD657" w14:textId="77777777" w:rsidR="00C01C52" w:rsidRPr="00571449" w:rsidRDefault="00F60FAA" w:rsidP="00C01C52">
            <w:pPr>
              <w:spacing w:line="240" w:lineRule="auto"/>
              <w:jc w:val="right"/>
              <w:rPr>
                <w:rFonts w:cs="Arial"/>
                <w:b/>
                <w:bCs/>
                <w:color w:val="000000"/>
                <w:szCs w:val="22"/>
              </w:rPr>
            </w:pPr>
            <w:r w:rsidRPr="00571449">
              <w:rPr>
                <w:rFonts w:cs="Arial"/>
                <w:b/>
                <w:bCs/>
                <w:color w:val="000000"/>
                <w:szCs w:val="22"/>
              </w:rPr>
              <w:t>(19,519)</w:t>
            </w:r>
          </w:p>
        </w:tc>
        <w:tc>
          <w:tcPr>
            <w:tcW w:w="1223" w:type="dxa"/>
            <w:tcBorders>
              <w:top w:val="single" w:sz="4" w:space="0" w:color="auto"/>
              <w:bottom w:val="single" w:sz="4" w:space="0" w:color="auto"/>
            </w:tcBorders>
            <w:shd w:val="clear" w:color="auto" w:fill="auto"/>
            <w:tcMar>
              <w:right w:w="170" w:type="dxa"/>
            </w:tcMar>
            <w:vAlign w:val="center"/>
            <w:hideMark/>
          </w:tcPr>
          <w:p w14:paraId="533BD658" w14:textId="77777777" w:rsidR="00C01C52" w:rsidRPr="006F669A" w:rsidRDefault="00F60FAA" w:rsidP="00C01C52">
            <w:pPr>
              <w:spacing w:line="240" w:lineRule="auto"/>
              <w:jc w:val="right"/>
              <w:rPr>
                <w:rFonts w:cs="Arial"/>
                <w:b/>
                <w:bCs/>
                <w:szCs w:val="22"/>
              </w:rPr>
            </w:pPr>
            <w:r w:rsidRPr="006F669A">
              <w:rPr>
                <w:rFonts w:cs="Arial"/>
                <w:b/>
                <w:bCs/>
                <w:szCs w:val="22"/>
              </w:rPr>
              <w:t>(1,</w:t>
            </w:r>
            <w:r>
              <w:rPr>
                <w:rFonts w:cs="Arial"/>
                <w:b/>
                <w:bCs/>
                <w:szCs w:val="22"/>
              </w:rPr>
              <w:t>537</w:t>
            </w:r>
            <w:r w:rsidRPr="006F669A">
              <w:rPr>
                <w:rFonts w:cs="Arial"/>
                <w:b/>
                <w:bCs/>
                <w:szCs w:val="22"/>
              </w:rPr>
              <w:t>)</w:t>
            </w:r>
          </w:p>
        </w:tc>
        <w:tc>
          <w:tcPr>
            <w:tcW w:w="1223" w:type="dxa"/>
            <w:tcBorders>
              <w:top w:val="single" w:sz="4" w:space="0" w:color="auto"/>
              <w:bottom w:val="single" w:sz="4" w:space="0" w:color="auto"/>
            </w:tcBorders>
            <w:shd w:val="clear" w:color="auto" w:fill="auto"/>
            <w:tcMar>
              <w:right w:w="170" w:type="dxa"/>
            </w:tcMar>
            <w:vAlign w:val="center"/>
            <w:hideMark/>
          </w:tcPr>
          <w:p w14:paraId="533BD659" w14:textId="77777777" w:rsidR="00C01C52" w:rsidRPr="006F669A" w:rsidRDefault="00F60FAA" w:rsidP="00C01C52">
            <w:pPr>
              <w:spacing w:line="240" w:lineRule="auto"/>
              <w:jc w:val="right"/>
              <w:rPr>
                <w:rFonts w:cs="Arial"/>
                <w:b/>
                <w:bCs/>
                <w:szCs w:val="22"/>
              </w:rPr>
            </w:pPr>
            <w:r>
              <w:rPr>
                <w:rFonts w:cs="Arial"/>
                <w:b/>
                <w:bCs/>
                <w:szCs w:val="22"/>
              </w:rPr>
              <w:t>653</w:t>
            </w:r>
          </w:p>
        </w:tc>
        <w:tc>
          <w:tcPr>
            <w:tcW w:w="1223" w:type="dxa"/>
            <w:tcBorders>
              <w:top w:val="single" w:sz="4" w:space="0" w:color="auto"/>
              <w:bottom w:val="single" w:sz="4" w:space="0" w:color="auto"/>
            </w:tcBorders>
            <w:shd w:val="clear" w:color="auto" w:fill="auto"/>
            <w:tcMar>
              <w:right w:w="170" w:type="dxa"/>
            </w:tcMar>
            <w:vAlign w:val="center"/>
            <w:hideMark/>
          </w:tcPr>
          <w:p w14:paraId="533BD65A" w14:textId="77777777" w:rsidR="00C01C52" w:rsidRPr="006F669A" w:rsidRDefault="00F60FAA" w:rsidP="00C01C52">
            <w:pPr>
              <w:spacing w:line="240" w:lineRule="auto"/>
              <w:jc w:val="right"/>
              <w:rPr>
                <w:rFonts w:cs="Arial"/>
                <w:b/>
                <w:bCs/>
                <w:szCs w:val="22"/>
              </w:rPr>
            </w:pPr>
            <w:r>
              <w:rPr>
                <w:rFonts w:cs="Arial"/>
                <w:b/>
                <w:bCs/>
                <w:szCs w:val="22"/>
              </w:rPr>
              <w:t>982</w:t>
            </w:r>
          </w:p>
        </w:tc>
        <w:tc>
          <w:tcPr>
            <w:tcW w:w="1460" w:type="dxa"/>
            <w:tcBorders>
              <w:top w:val="single" w:sz="4" w:space="0" w:color="auto"/>
              <w:bottom w:val="single" w:sz="4" w:space="0" w:color="auto"/>
            </w:tcBorders>
            <w:shd w:val="clear" w:color="auto" w:fill="auto"/>
            <w:tcMar>
              <w:right w:w="170" w:type="dxa"/>
            </w:tcMar>
            <w:vAlign w:val="center"/>
            <w:hideMark/>
          </w:tcPr>
          <w:p w14:paraId="533BD65B" w14:textId="77777777" w:rsidR="00C01C52" w:rsidRPr="006F669A" w:rsidRDefault="00F60FAA" w:rsidP="00C01C52">
            <w:pPr>
              <w:spacing w:line="240" w:lineRule="auto"/>
              <w:jc w:val="right"/>
              <w:rPr>
                <w:rFonts w:cs="Arial"/>
                <w:b/>
                <w:bCs/>
                <w:szCs w:val="22"/>
              </w:rPr>
            </w:pPr>
            <w:r w:rsidRPr="006F669A">
              <w:rPr>
                <w:rFonts w:cs="Arial"/>
                <w:b/>
                <w:bCs/>
                <w:szCs w:val="22"/>
              </w:rPr>
              <w:t>(1</w:t>
            </w:r>
            <w:r>
              <w:rPr>
                <w:rFonts w:cs="Arial"/>
                <w:b/>
                <w:bCs/>
                <w:szCs w:val="22"/>
              </w:rPr>
              <w:t>9</w:t>
            </w:r>
            <w:r w:rsidRPr="006F669A">
              <w:rPr>
                <w:rFonts w:cs="Arial"/>
                <w:b/>
                <w:bCs/>
                <w:szCs w:val="22"/>
              </w:rPr>
              <w:t>,</w:t>
            </w:r>
            <w:r>
              <w:rPr>
                <w:rFonts w:cs="Arial"/>
                <w:b/>
                <w:bCs/>
                <w:szCs w:val="22"/>
              </w:rPr>
              <w:t>421</w:t>
            </w:r>
            <w:r w:rsidRPr="006F669A">
              <w:rPr>
                <w:rFonts w:cs="Arial"/>
                <w:b/>
                <w:bCs/>
                <w:szCs w:val="22"/>
              </w:rPr>
              <w:t>)</w:t>
            </w:r>
          </w:p>
        </w:tc>
      </w:tr>
    </w:tbl>
    <w:p w14:paraId="533BD65D" w14:textId="77777777" w:rsidR="00C01C52" w:rsidRDefault="00F60FAA" w:rsidP="00C01C52">
      <w:pPr>
        <w:ind w:left="357"/>
      </w:pPr>
    </w:p>
    <w:p w14:paraId="533BD65E" w14:textId="77777777" w:rsidR="00C01C52" w:rsidRDefault="00F60FAA" w:rsidP="00C01C52">
      <w:pPr>
        <w:pStyle w:val="Heading2"/>
      </w:pPr>
    </w:p>
    <w:p w14:paraId="533BD65F" w14:textId="77777777" w:rsidR="00C01C52" w:rsidRDefault="00F60FAA" w:rsidP="00C01C52">
      <w:pPr>
        <w:pStyle w:val="Heading2"/>
      </w:pPr>
      <w:r>
        <w:t>Capital Programme</w:t>
      </w:r>
    </w:p>
    <w:p w14:paraId="533BD660" w14:textId="77777777" w:rsidR="00C01C52" w:rsidRDefault="00F60FAA" w:rsidP="00C01C52">
      <w:pPr>
        <w:pStyle w:val="ListParagraph"/>
      </w:pPr>
      <w:r>
        <w:t xml:space="preserve">Appendix A lists all the capital schemes within the programme and the </w:t>
      </w:r>
      <w:r>
        <w:t>detail regarding budgets, spending and forecasts.</w:t>
      </w:r>
    </w:p>
    <w:p w14:paraId="533BD661" w14:textId="77777777" w:rsidR="00C01C52" w:rsidRDefault="00F60FAA" w:rsidP="00C01C52">
      <w:pPr>
        <w:pStyle w:val="ListParagraph"/>
      </w:pPr>
      <w:r>
        <w:t>There are several schemes where the forecast is below budget and we expect slippage to next financial year.  The overall forecast is £4.129m against a budget of £15.026m.</w:t>
      </w:r>
    </w:p>
    <w:p w14:paraId="533BD662" w14:textId="77777777" w:rsidR="00C01C52" w:rsidRDefault="00F60FAA" w:rsidP="00C01C52">
      <w:pPr>
        <w:pStyle w:val="ListParagraph"/>
      </w:pPr>
      <w:r>
        <w:lastRenderedPageBreak/>
        <w:t>A large part of the forecasted unde</w:t>
      </w:r>
      <w:r>
        <w:t xml:space="preserve">rspend is the ‘Investment Property’ scheme for £4.55m which relates to using the ‘Borough Investment Reserve’ to purchase properties for the purposes of generating additional income.  No suitable properties have been identified </w:t>
      </w:r>
      <w:r w:rsidRPr="00D012D8">
        <w:t>and it is assumed that the r</w:t>
      </w:r>
      <w:r w:rsidRPr="00D012D8">
        <w:t>eserve will be used for different purposes in future years.</w:t>
      </w:r>
    </w:p>
    <w:p w14:paraId="533BD663" w14:textId="77777777" w:rsidR="00C01C52" w:rsidRDefault="00F60FAA" w:rsidP="00C01C52"/>
    <w:p w14:paraId="533BD664" w14:textId="77777777" w:rsidR="00C01C52" w:rsidRPr="000828CC" w:rsidRDefault="00F60FAA" w:rsidP="00C01C52">
      <w:pPr>
        <w:pStyle w:val="Heading1"/>
      </w:pPr>
      <w:r w:rsidRPr="000828CC">
        <w:t>CONSULTATION CARRIED OUT AND OUTCOME OF CONSULTATION</w:t>
      </w:r>
    </w:p>
    <w:p w14:paraId="533BD665" w14:textId="77777777" w:rsidR="00C01C52" w:rsidRPr="0048727F" w:rsidRDefault="00F60FAA" w:rsidP="00C01C52">
      <w:pPr>
        <w:pStyle w:val="ListParagraph"/>
      </w:pPr>
      <w:r>
        <w:t>Not applicable</w:t>
      </w:r>
    </w:p>
    <w:p w14:paraId="533BD666" w14:textId="77777777" w:rsidR="00C01C52" w:rsidRPr="0048727F" w:rsidRDefault="00F60FAA" w:rsidP="00C01C52"/>
    <w:p w14:paraId="533BD667" w14:textId="77777777" w:rsidR="00C01C52" w:rsidRPr="000828CC" w:rsidRDefault="00F60FAA" w:rsidP="00C01C52">
      <w:pPr>
        <w:pStyle w:val="Heading1"/>
      </w:pPr>
      <w:r w:rsidRPr="000828CC">
        <w:t>ALTERNATIVE OPTIONS CONSIDERED AND REJECTED</w:t>
      </w:r>
    </w:p>
    <w:p w14:paraId="533BD668" w14:textId="77777777" w:rsidR="00C01C52" w:rsidRPr="005C3FD7" w:rsidRDefault="00F60FAA" w:rsidP="00C01C52">
      <w:pPr>
        <w:pStyle w:val="ListParagraph"/>
      </w:pPr>
      <w:r w:rsidRPr="005C3FD7">
        <w:t>Not appl</w:t>
      </w:r>
      <w:r>
        <w:t>icable</w:t>
      </w:r>
    </w:p>
    <w:p w14:paraId="533BD669" w14:textId="77777777" w:rsidR="00C01C52" w:rsidRPr="000828CC" w:rsidRDefault="00F60FAA" w:rsidP="00C01C52"/>
    <w:p w14:paraId="533BD66A" w14:textId="77777777" w:rsidR="00C01C52" w:rsidRPr="000828CC" w:rsidRDefault="00F60FAA" w:rsidP="00C01C52">
      <w:pPr>
        <w:pStyle w:val="Heading1"/>
        <w:rPr>
          <w:caps w:val="0"/>
        </w:rPr>
      </w:pPr>
      <w:r w:rsidRPr="000828CC">
        <w:t>Financial implications</w:t>
      </w:r>
    </w:p>
    <w:p w14:paraId="533BD66B" w14:textId="77777777" w:rsidR="00C01C52" w:rsidRPr="002C71DE" w:rsidRDefault="00F60FAA" w:rsidP="00C01C52">
      <w:pPr>
        <w:pStyle w:val="ListParagraph"/>
        <w:rPr>
          <w:caps/>
        </w:rPr>
      </w:pPr>
      <w:r>
        <w:rPr>
          <w:caps/>
        </w:rPr>
        <w:t>T</w:t>
      </w:r>
      <w:r>
        <w:t>he</w:t>
      </w:r>
      <w:r>
        <w:rPr>
          <w:caps/>
        </w:rPr>
        <w:t xml:space="preserve"> </w:t>
      </w:r>
      <w:r>
        <w:t xml:space="preserve">financial implications are </w:t>
      </w:r>
      <w:r>
        <w:t>contained within the report.</w:t>
      </w:r>
      <w:r>
        <w:rPr>
          <w:caps/>
        </w:rPr>
        <w:t xml:space="preserve"> </w:t>
      </w:r>
    </w:p>
    <w:p w14:paraId="533BD66C" w14:textId="77777777" w:rsidR="00C01C52" w:rsidRPr="000828CC" w:rsidRDefault="00F60FAA" w:rsidP="00C01C52"/>
    <w:p w14:paraId="533BD66D" w14:textId="77777777" w:rsidR="00C01C52" w:rsidRPr="000828CC" w:rsidRDefault="00F60FAA" w:rsidP="00C01C52">
      <w:pPr>
        <w:pStyle w:val="Heading1"/>
        <w:rPr>
          <w:caps w:val="0"/>
        </w:rPr>
      </w:pPr>
      <w:r w:rsidRPr="000828CC">
        <w:t>LEGAL IMPLICATIONS</w:t>
      </w:r>
    </w:p>
    <w:p w14:paraId="533BD66E" w14:textId="77777777" w:rsidR="00C01C52" w:rsidRPr="002C37A6" w:rsidRDefault="00F60FAA" w:rsidP="00C01C52">
      <w:pPr>
        <w:pStyle w:val="ListParagraph"/>
      </w:pPr>
      <w:r w:rsidRPr="002C37A6">
        <w:t>The report is primarily for information purposes. Overall it presents a positive picture. There are no concerns or issues to raise from a legal perspective.</w:t>
      </w:r>
    </w:p>
    <w:p w14:paraId="533BD66F" w14:textId="77777777" w:rsidR="00C01C52" w:rsidRPr="005C3FD7" w:rsidRDefault="00F60FAA" w:rsidP="00C01C52">
      <w:pPr>
        <w:rPr>
          <w:caps/>
        </w:rPr>
      </w:pPr>
    </w:p>
    <w:p w14:paraId="533BD670" w14:textId="77777777" w:rsidR="00C01C52" w:rsidRDefault="00F60FAA" w:rsidP="00C01C52">
      <w:pPr>
        <w:pStyle w:val="Heading1"/>
        <w:rPr>
          <w:caps w:val="0"/>
        </w:rPr>
      </w:pPr>
      <w:r w:rsidRPr="002C71DE">
        <w:t>AIR QUALITY IMPLICATIONS</w:t>
      </w:r>
    </w:p>
    <w:p w14:paraId="533BD671" w14:textId="77777777" w:rsidR="00C01C52" w:rsidRPr="002C71DE" w:rsidRDefault="00F60FAA" w:rsidP="00C01C52">
      <w:pPr>
        <w:pStyle w:val="ListParagraph"/>
        <w:rPr>
          <w:caps/>
        </w:rPr>
      </w:pPr>
      <w:r>
        <w:t>There are no air qualit</w:t>
      </w:r>
      <w:r>
        <w:t>y implications that are specific to this report.</w:t>
      </w:r>
    </w:p>
    <w:p w14:paraId="533BD672" w14:textId="77777777" w:rsidR="00C01C52" w:rsidRPr="007A0801" w:rsidRDefault="00F60FAA" w:rsidP="00C01C52">
      <w:pPr>
        <w:rPr>
          <w:rFonts w:cs="Arial"/>
          <w:caps/>
        </w:rPr>
      </w:pPr>
    </w:p>
    <w:p w14:paraId="533BD673" w14:textId="77777777" w:rsidR="00C01C52" w:rsidRDefault="00F60FAA" w:rsidP="00C01C52">
      <w:pPr>
        <w:pStyle w:val="Heading1"/>
        <w:rPr>
          <w:caps w:val="0"/>
        </w:rPr>
      </w:pPr>
      <w:r w:rsidRPr="00491976">
        <w:t>Human Resources and Organisational Development implications</w:t>
      </w:r>
    </w:p>
    <w:p w14:paraId="533BD674" w14:textId="77777777" w:rsidR="00C01C52" w:rsidRDefault="00F60FAA" w:rsidP="00C01C52">
      <w:pPr>
        <w:pStyle w:val="ListParagraph"/>
      </w:pPr>
      <w:r>
        <w:t xml:space="preserve">There are no specific implications regarding this report.  The main considerations are vacant posts, </w:t>
      </w:r>
      <w:proofErr w:type="gramStart"/>
      <w:r>
        <w:t>in particular within</w:t>
      </w:r>
      <w:proofErr w:type="gramEnd"/>
      <w:r>
        <w:t xml:space="preserve"> shared services </w:t>
      </w:r>
      <w:r>
        <w:t>senior management.</w:t>
      </w:r>
    </w:p>
    <w:p w14:paraId="533BD675" w14:textId="77777777" w:rsidR="00C01C52" w:rsidRPr="002C37A6" w:rsidRDefault="00F60FAA" w:rsidP="00C01C52"/>
    <w:p w14:paraId="533BD676" w14:textId="77777777" w:rsidR="00C01C52" w:rsidRDefault="00F60FAA" w:rsidP="00C01C52">
      <w:pPr>
        <w:pStyle w:val="Heading1"/>
        <w:rPr>
          <w:caps w:val="0"/>
        </w:rPr>
      </w:pPr>
      <w:r w:rsidRPr="00491976">
        <w:t>ICT</w:t>
      </w:r>
      <w:r>
        <w:t xml:space="preserve"> </w:t>
      </w:r>
      <w:r w:rsidRPr="00491976">
        <w:t>/</w:t>
      </w:r>
      <w:r>
        <w:t xml:space="preserve"> </w:t>
      </w:r>
      <w:r w:rsidRPr="00491976">
        <w:t>technology implications</w:t>
      </w:r>
    </w:p>
    <w:p w14:paraId="533BD677" w14:textId="77777777" w:rsidR="00C01C52" w:rsidRPr="00FC59FC" w:rsidRDefault="00F60FAA" w:rsidP="00C01C52">
      <w:pPr>
        <w:pStyle w:val="ListParagraph"/>
      </w:pPr>
      <w:r w:rsidRPr="00FC59FC">
        <w:t>The revenue budget for IT has a forecasted underspend due to vacancies, as detailed in the Staffing Costs section above.  The capital programme includes a total budget of £200,000 for IT projects.  To date,</w:t>
      </w:r>
      <w:r w:rsidRPr="00FC59FC">
        <w:t xml:space="preserve"> £</w:t>
      </w:r>
      <w:r>
        <w:t>84</w:t>
      </w:r>
      <w:r w:rsidRPr="00FC59FC">
        <w:t xml:space="preserve">,000 has been allocated to </w:t>
      </w:r>
      <w:r>
        <w:t>four schemes</w:t>
      </w:r>
      <w:r w:rsidRPr="00FC59FC">
        <w:t>, leaving a balance of £1</w:t>
      </w:r>
      <w:r>
        <w:t>16</w:t>
      </w:r>
      <w:r w:rsidRPr="00FC59FC">
        <w:t>,000.  There are also two other IT related schemes that have been funded from alternative sources.</w:t>
      </w:r>
    </w:p>
    <w:p w14:paraId="533BD678" w14:textId="77777777" w:rsidR="00C01C52" w:rsidRDefault="00F60FAA" w:rsidP="00C01C52"/>
    <w:p w14:paraId="533BD679" w14:textId="77777777" w:rsidR="00C01C52" w:rsidRDefault="00F60FAA" w:rsidP="00C01C52">
      <w:pPr>
        <w:pStyle w:val="Heading1"/>
        <w:rPr>
          <w:caps w:val="0"/>
        </w:rPr>
      </w:pPr>
      <w:r w:rsidRPr="00491976">
        <w:t>Property and Asset Management implications</w:t>
      </w:r>
    </w:p>
    <w:p w14:paraId="533BD67A" w14:textId="77777777" w:rsidR="00C01C52" w:rsidRPr="002C37A6" w:rsidRDefault="00F60FAA" w:rsidP="00C01C52">
      <w:pPr>
        <w:pStyle w:val="ListParagraph"/>
      </w:pPr>
      <w:r>
        <w:t>The main consideration relating to property</w:t>
      </w:r>
      <w:r>
        <w:t xml:space="preserve"> and assets is the ‘Investment Property’ line in the capital programme reflects the intended use of the ‘Borough Investment Reserve’, which has a balance of £4,550,000.</w:t>
      </w:r>
    </w:p>
    <w:p w14:paraId="533BD67B" w14:textId="77777777" w:rsidR="00C01C52" w:rsidRPr="006D1F02" w:rsidRDefault="00F60FAA" w:rsidP="00C01C52"/>
    <w:p w14:paraId="533BD67C" w14:textId="77777777" w:rsidR="00C01C52" w:rsidRDefault="00F60FAA" w:rsidP="00C01C52">
      <w:pPr>
        <w:pStyle w:val="Heading1"/>
      </w:pPr>
      <w:r>
        <w:t>RISK MANAGEMENT</w:t>
      </w:r>
    </w:p>
    <w:p w14:paraId="533BD67D" w14:textId="77777777" w:rsidR="00C01C52" w:rsidRPr="00BF74BB" w:rsidRDefault="00F60FAA" w:rsidP="00C01C52">
      <w:pPr>
        <w:pStyle w:val="ListParagraph"/>
      </w:pPr>
      <w:r>
        <w:t xml:space="preserve">Where applicable, </w:t>
      </w:r>
      <w:proofErr w:type="gramStart"/>
      <w:r>
        <w:t>particular risks</w:t>
      </w:r>
      <w:proofErr w:type="gramEnd"/>
      <w:r>
        <w:t xml:space="preserve"> are mentioned in the previous secti</w:t>
      </w:r>
      <w:r>
        <w:t xml:space="preserve">ons of this report.  The main overarching risk is that the assumptions made in compiling a forecast outturn are unreliable or inaccurate.  Forecasts have been made using the best information available and drawing on the knowledge and expertise of officers </w:t>
      </w:r>
      <w:r>
        <w:t>within service areas and the finance team itself.</w:t>
      </w:r>
    </w:p>
    <w:p w14:paraId="533BD67E" w14:textId="77777777" w:rsidR="00C01C52" w:rsidRPr="002C71DE" w:rsidRDefault="00F60FAA" w:rsidP="00C01C52"/>
    <w:p w14:paraId="533BD67F" w14:textId="77777777" w:rsidR="00C01C52" w:rsidRDefault="00F60FAA" w:rsidP="00C01C52">
      <w:pPr>
        <w:pStyle w:val="Heading1"/>
      </w:pPr>
      <w:r w:rsidRPr="005404A1">
        <w:t xml:space="preserve">EQUALITY </w:t>
      </w:r>
      <w:r>
        <w:t xml:space="preserve">AND DIVERSITY </w:t>
      </w:r>
      <w:r w:rsidRPr="005404A1">
        <w:t>IMPACT</w:t>
      </w:r>
    </w:p>
    <w:p w14:paraId="533BD680" w14:textId="77777777" w:rsidR="00C01C52" w:rsidRDefault="00F60FAA" w:rsidP="00C01C52">
      <w:pPr>
        <w:pStyle w:val="ListParagraph"/>
      </w:pPr>
      <w:r w:rsidRPr="00505F0A">
        <w:t>This report is not considered to have any adverse impact on equality</w:t>
      </w:r>
      <w:r>
        <w:t>.</w:t>
      </w:r>
    </w:p>
    <w:p w14:paraId="533BD681" w14:textId="77777777" w:rsidR="00C01C52" w:rsidRPr="00BF74BB" w:rsidRDefault="00F60FAA" w:rsidP="00C01C52"/>
    <w:p w14:paraId="533BD682" w14:textId="77777777" w:rsidR="00C01C52" w:rsidRDefault="00F60FAA" w:rsidP="00C01C52">
      <w:pPr>
        <w:pStyle w:val="Heading1"/>
      </w:pPr>
      <w:r w:rsidRPr="002C71DE">
        <w:t>RELEVANT DIRECTOR</w:t>
      </w:r>
      <w:r>
        <w:t>’</w:t>
      </w:r>
      <w:r w:rsidRPr="002C71DE">
        <w:t xml:space="preserve">S RECOMMENDATIONS </w:t>
      </w:r>
    </w:p>
    <w:p w14:paraId="533BD683" w14:textId="77777777" w:rsidR="00C01C52" w:rsidRPr="002C71DE" w:rsidRDefault="00F60FAA" w:rsidP="00C01C52">
      <w:pPr>
        <w:pStyle w:val="ListParagraph"/>
      </w:pPr>
      <w:r>
        <w:t>None</w:t>
      </w:r>
    </w:p>
    <w:p w14:paraId="533BD684" w14:textId="77777777" w:rsidR="00C01C52" w:rsidRDefault="00F60FAA" w:rsidP="00C01C52">
      <w:pPr>
        <w:pStyle w:val="Heading1"/>
      </w:pPr>
      <w:r w:rsidRPr="000A68B2">
        <w:t>C</w:t>
      </w:r>
      <w:r>
        <w:t>OMMENTS OF THE STATUTORY FINANCE OFFICER</w:t>
      </w:r>
    </w:p>
    <w:p w14:paraId="533BD685" w14:textId="77777777" w:rsidR="00C01C52" w:rsidRDefault="00F60FAA" w:rsidP="00C01C52">
      <w:pPr>
        <w:pStyle w:val="ListParagraph"/>
      </w:pPr>
      <w:r>
        <w:t xml:space="preserve">No further </w:t>
      </w:r>
      <w:r>
        <w:t>comments.</w:t>
      </w:r>
    </w:p>
    <w:p w14:paraId="533BD686" w14:textId="77777777" w:rsidR="00C01C52" w:rsidRPr="00BF74BB" w:rsidRDefault="00F60FAA" w:rsidP="00C01C52"/>
    <w:p w14:paraId="533BD687" w14:textId="77777777" w:rsidR="00C01C52" w:rsidRDefault="00F60FAA" w:rsidP="00C01C52">
      <w:pPr>
        <w:pStyle w:val="Heading1"/>
      </w:pPr>
      <w:r w:rsidRPr="000A68B2">
        <w:t>C</w:t>
      </w:r>
      <w:r>
        <w:t>OMMENTS OF THE MONITORING OFFICER</w:t>
      </w:r>
    </w:p>
    <w:p w14:paraId="533BD688" w14:textId="77777777" w:rsidR="00C01C52" w:rsidRPr="00BF74BB" w:rsidRDefault="00F60FAA" w:rsidP="00C01C52">
      <w:pPr>
        <w:pStyle w:val="ListParagraph"/>
      </w:pPr>
      <w:r w:rsidRPr="002C37A6">
        <w:t xml:space="preserve">Clearly it is important that a council should report openly and transparently </w:t>
      </w:r>
      <w:proofErr w:type="gramStart"/>
      <w:r w:rsidRPr="002C37A6">
        <w:t>with regard to</w:t>
      </w:r>
      <w:proofErr w:type="gramEnd"/>
      <w:r w:rsidRPr="002C37A6">
        <w:t xml:space="preserve"> the monitoring of the budget. Residents need to know how the council is performing. From a legal perspective there ar</w:t>
      </w:r>
      <w:r w:rsidRPr="002C37A6">
        <w:t>e no concerns to report.</w:t>
      </w:r>
    </w:p>
    <w:p w14:paraId="533BD689" w14:textId="77777777" w:rsidR="00C01C52" w:rsidRDefault="00F60FAA" w:rsidP="00C01C52">
      <w:pPr>
        <w:pStyle w:val="Heading1"/>
      </w:pPr>
      <w:r>
        <w:t xml:space="preserve">BACKGROUND DOCUMENTS </w:t>
      </w:r>
    </w:p>
    <w:p w14:paraId="533BD68A" w14:textId="77777777" w:rsidR="00C01C52" w:rsidRDefault="00F60FAA" w:rsidP="00C01C52">
      <w:r>
        <w:t xml:space="preserve">Budget Report and </w:t>
      </w:r>
      <w:proofErr w:type="gramStart"/>
      <w:r>
        <w:t>Medium Term</w:t>
      </w:r>
      <w:proofErr w:type="gramEnd"/>
      <w:r>
        <w:t xml:space="preserve"> Financial Strategy – February 2019.</w:t>
      </w:r>
    </w:p>
    <w:p w14:paraId="533BD68B" w14:textId="77777777" w:rsidR="00C01C52" w:rsidRPr="00227261" w:rsidRDefault="00F60FAA" w:rsidP="00C01C52"/>
    <w:p w14:paraId="533BD68C" w14:textId="77777777" w:rsidR="00C01C52" w:rsidRPr="004C2F94" w:rsidRDefault="00F60FAA" w:rsidP="00C01C52">
      <w:pPr>
        <w:pStyle w:val="Heading1"/>
      </w:pPr>
      <w:r>
        <w:t>APPENDICES</w:t>
      </w:r>
    </w:p>
    <w:p w14:paraId="533BD68D" w14:textId="77777777" w:rsidR="00C01C52" w:rsidRDefault="00F60FAA" w:rsidP="00C01C52">
      <w:r>
        <w:t>Appendix A – Capital Programme 2019-20</w:t>
      </w:r>
    </w:p>
    <w:p w14:paraId="533BD68E" w14:textId="77777777" w:rsidR="00C01C52" w:rsidRPr="00BF74BB" w:rsidRDefault="00F60FAA" w:rsidP="00C01C52"/>
    <w:p w14:paraId="533BD68F" w14:textId="77777777" w:rsidR="00C01C52" w:rsidRPr="00227261" w:rsidRDefault="00F60FAA" w:rsidP="00C01C52">
      <w:pPr>
        <w:tabs>
          <w:tab w:val="left" w:pos="2839"/>
        </w:tabs>
        <w:ind w:left="426" w:hanging="426"/>
        <w:rPr>
          <w:rFonts w:cs="Arial"/>
        </w:rPr>
      </w:pPr>
      <w:r w:rsidRPr="00227261">
        <w:rPr>
          <w:rFonts w:cs="Arial"/>
        </w:rPr>
        <w:t>L</w:t>
      </w:r>
      <w:r>
        <w:rPr>
          <w:rFonts w:cs="Arial"/>
        </w:rPr>
        <w:t xml:space="preserve">eadership </w:t>
      </w:r>
      <w:r w:rsidRPr="00227261">
        <w:rPr>
          <w:rFonts w:cs="Arial"/>
        </w:rPr>
        <w:t>T</w:t>
      </w:r>
      <w:r>
        <w:rPr>
          <w:rFonts w:cs="Arial"/>
        </w:rPr>
        <w:t>eam</w:t>
      </w:r>
      <w:r w:rsidRPr="00227261">
        <w:rPr>
          <w:rFonts w:cs="Arial"/>
        </w:rPr>
        <w:t xml:space="preserve"> Member’s Name: Jane Blundell</w:t>
      </w:r>
    </w:p>
    <w:p w14:paraId="533BD690" w14:textId="77777777" w:rsidR="00C01C52" w:rsidRPr="00227261" w:rsidRDefault="00F60FAA" w:rsidP="00C01C52">
      <w:pPr>
        <w:tabs>
          <w:tab w:val="left" w:pos="2839"/>
        </w:tabs>
        <w:rPr>
          <w:rFonts w:cs="Arial"/>
        </w:rPr>
      </w:pPr>
      <w:r w:rsidRPr="00227261">
        <w:rPr>
          <w:rFonts w:cs="Arial"/>
        </w:rPr>
        <w:t xml:space="preserve">Job Title: Interim s151 Officer </w:t>
      </w:r>
    </w:p>
    <w:p w14:paraId="533BD691" w14:textId="77777777" w:rsidR="00C01C52" w:rsidRPr="00BF74BB" w:rsidRDefault="00F60FAA" w:rsidP="00C01C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1753"/>
        <w:gridCol w:w="2351"/>
      </w:tblGrid>
      <w:tr w:rsidR="002B7C48" w14:paraId="533BD695" w14:textId="77777777" w:rsidTr="00C01C52">
        <w:tc>
          <w:tcPr>
            <w:tcW w:w="5416" w:type="dxa"/>
            <w:shd w:val="clear" w:color="auto" w:fill="auto"/>
          </w:tcPr>
          <w:p w14:paraId="533BD692" w14:textId="77777777" w:rsidR="00C01C52" w:rsidRPr="00626CEB" w:rsidRDefault="00F60FAA" w:rsidP="00C01C52">
            <w:pPr>
              <w:rPr>
                <w:rFonts w:cs="Arial"/>
                <w:sz w:val="20"/>
              </w:rPr>
            </w:pPr>
            <w:r w:rsidRPr="00626CEB">
              <w:rPr>
                <w:rFonts w:cs="Arial"/>
                <w:sz w:val="20"/>
              </w:rPr>
              <w:t>Report Author:</w:t>
            </w:r>
          </w:p>
        </w:tc>
        <w:tc>
          <w:tcPr>
            <w:tcW w:w="1753" w:type="dxa"/>
            <w:shd w:val="clear" w:color="auto" w:fill="auto"/>
          </w:tcPr>
          <w:p w14:paraId="533BD693" w14:textId="77777777" w:rsidR="00C01C52" w:rsidRPr="00626CEB" w:rsidRDefault="00F60FAA" w:rsidP="00C01C52">
            <w:pPr>
              <w:rPr>
                <w:rFonts w:cs="Arial"/>
                <w:sz w:val="20"/>
              </w:rPr>
            </w:pPr>
            <w:r w:rsidRPr="00626CEB">
              <w:rPr>
                <w:rFonts w:cs="Arial"/>
                <w:sz w:val="20"/>
              </w:rPr>
              <w:t>Telephone:</w:t>
            </w:r>
          </w:p>
        </w:tc>
        <w:tc>
          <w:tcPr>
            <w:tcW w:w="2351" w:type="dxa"/>
            <w:shd w:val="clear" w:color="auto" w:fill="auto"/>
          </w:tcPr>
          <w:p w14:paraId="533BD694" w14:textId="77777777" w:rsidR="00C01C52" w:rsidRPr="00626CEB" w:rsidRDefault="00F60FAA" w:rsidP="00C01C52">
            <w:pPr>
              <w:rPr>
                <w:rFonts w:cs="Arial"/>
                <w:sz w:val="20"/>
              </w:rPr>
            </w:pPr>
            <w:r w:rsidRPr="00626CEB">
              <w:rPr>
                <w:rFonts w:cs="Arial"/>
                <w:sz w:val="20"/>
              </w:rPr>
              <w:t>Date:</w:t>
            </w:r>
          </w:p>
        </w:tc>
      </w:tr>
      <w:tr w:rsidR="002B7C48" w14:paraId="533BD699" w14:textId="77777777" w:rsidTr="00C01C52">
        <w:tc>
          <w:tcPr>
            <w:tcW w:w="5416" w:type="dxa"/>
            <w:shd w:val="clear" w:color="auto" w:fill="auto"/>
          </w:tcPr>
          <w:p w14:paraId="533BD696" w14:textId="77777777" w:rsidR="00C01C52" w:rsidRPr="00626CEB" w:rsidRDefault="00F60FAA" w:rsidP="00C01C52">
            <w:pPr>
              <w:rPr>
                <w:sz w:val="20"/>
              </w:rPr>
            </w:pPr>
            <w:r w:rsidRPr="00626CEB">
              <w:rPr>
                <w:sz w:val="20"/>
              </w:rPr>
              <w:t>Jane Blundell, Principal Management Accountant and Interim Section 151 Officer</w:t>
            </w:r>
          </w:p>
        </w:tc>
        <w:tc>
          <w:tcPr>
            <w:tcW w:w="1753" w:type="dxa"/>
            <w:shd w:val="clear" w:color="auto" w:fill="auto"/>
          </w:tcPr>
          <w:p w14:paraId="533BD697" w14:textId="77777777" w:rsidR="00C01C52" w:rsidRPr="00626CEB" w:rsidRDefault="00F60FAA" w:rsidP="00C01C52">
            <w:pPr>
              <w:rPr>
                <w:rFonts w:cs="Arial"/>
                <w:sz w:val="20"/>
              </w:rPr>
            </w:pPr>
            <w:r w:rsidRPr="00626CEB">
              <w:rPr>
                <w:rFonts w:cs="Arial"/>
                <w:sz w:val="20"/>
              </w:rPr>
              <w:t>01772 62 5245</w:t>
            </w:r>
          </w:p>
        </w:tc>
        <w:tc>
          <w:tcPr>
            <w:tcW w:w="2351" w:type="dxa"/>
            <w:vMerge w:val="restart"/>
            <w:shd w:val="clear" w:color="auto" w:fill="auto"/>
          </w:tcPr>
          <w:p w14:paraId="533BD698" w14:textId="77777777" w:rsidR="00C01C52" w:rsidRPr="00626CEB" w:rsidRDefault="00F60FAA" w:rsidP="00C01C52">
            <w:pPr>
              <w:rPr>
                <w:rFonts w:cs="Arial"/>
                <w:sz w:val="20"/>
              </w:rPr>
            </w:pPr>
            <w:r>
              <w:rPr>
                <w:rFonts w:cs="Arial"/>
                <w:sz w:val="20"/>
              </w:rPr>
              <w:t>23</w:t>
            </w:r>
            <w:r w:rsidRPr="00755AFA">
              <w:rPr>
                <w:rFonts w:cs="Arial"/>
                <w:sz w:val="20"/>
                <w:vertAlign w:val="superscript"/>
              </w:rPr>
              <w:t>rd</w:t>
            </w:r>
            <w:r>
              <w:rPr>
                <w:rFonts w:cs="Arial"/>
                <w:sz w:val="20"/>
              </w:rPr>
              <w:t xml:space="preserve"> January 2020</w:t>
            </w:r>
          </w:p>
        </w:tc>
      </w:tr>
      <w:tr w:rsidR="002B7C48" w14:paraId="533BD69D" w14:textId="77777777" w:rsidTr="00C01C52">
        <w:tc>
          <w:tcPr>
            <w:tcW w:w="5416" w:type="dxa"/>
            <w:shd w:val="clear" w:color="auto" w:fill="auto"/>
          </w:tcPr>
          <w:p w14:paraId="533BD69A" w14:textId="77777777" w:rsidR="00C01C52" w:rsidRPr="00626CEB" w:rsidRDefault="00F60FAA" w:rsidP="00C01C52">
            <w:pPr>
              <w:rPr>
                <w:sz w:val="20"/>
              </w:rPr>
            </w:pPr>
            <w:r w:rsidRPr="00626CEB">
              <w:rPr>
                <w:sz w:val="20"/>
              </w:rPr>
              <w:t>James McNulty, Senior Management Accountant</w:t>
            </w:r>
          </w:p>
        </w:tc>
        <w:tc>
          <w:tcPr>
            <w:tcW w:w="1753" w:type="dxa"/>
            <w:shd w:val="clear" w:color="auto" w:fill="auto"/>
          </w:tcPr>
          <w:p w14:paraId="533BD69B" w14:textId="77777777" w:rsidR="00C01C52" w:rsidRPr="00626CEB" w:rsidRDefault="00F60FAA" w:rsidP="00C01C52">
            <w:pPr>
              <w:rPr>
                <w:rFonts w:cs="Arial"/>
                <w:sz w:val="20"/>
              </w:rPr>
            </w:pPr>
            <w:r w:rsidRPr="00626CEB">
              <w:rPr>
                <w:rFonts w:cs="Arial"/>
                <w:sz w:val="20"/>
              </w:rPr>
              <w:t>01772 62 5289</w:t>
            </w:r>
          </w:p>
        </w:tc>
        <w:tc>
          <w:tcPr>
            <w:tcW w:w="2351" w:type="dxa"/>
            <w:vMerge/>
            <w:shd w:val="clear" w:color="auto" w:fill="auto"/>
          </w:tcPr>
          <w:p w14:paraId="533BD69C" w14:textId="77777777" w:rsidR="00C01C52" w:rsidRDefault="00F60FAA" w:rsidP="00C01C52">
            <w:pPr>
              <w:rPr>
                <w:rFonts w:cs="Arial"/>
                <w:sz w:val="20"/>
              </w:rPr>
            </w:pPr>
          </w:p>
        </w:tc>
      </w:tr>
    </w:tbl>
    <w:p w14:paraId="533BD69E" w14:textId="77777777" w:rsidR="00C01C52" w:rsidRDefault="00F60FAA" w:rsidP="00C01C52">
      <w:pPr>
        <w:rPr>
          <w:rFonts w:cs="Arial"/>
        </w:rPr>
      </w:pPr>
    </w:p>
    <w:sectPr w:rsidR="00C01C52" w:rsidSect="00C01C52">
      <w:headerReference w:type="default" r:id="rId9"/>
      <w:footerReference w:type="default" r:id="rId10"/>
      <w:pgSz w:w="11906" w:h="16838" w:code="9"/>
      <w:pgMar w:top="1134" w:right="851" w:bottom="964" w:left="1134"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BD6A7" w14:textId="77777777" w:rsidR="00000000" w:rsidRDefault="00F60FAA">
      <w:pPr>
        <w:spacing w:line="240" w:lineRule="auto"/>
      </w:pPr>
      <w:r>
        <w:separator/>
      </w:r>
    </w:p>
  </w:endnote>
  <w:endnote w:type="continuationSeparator" w:id="0">
    <w:p w14:paraId="533BD6A9" w14:textId="77777777" w:rsidR="00000000" w:rsidRDefault="00F60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D6A2" w14:textId="77777777" w:rsidR="00C01C52" w:rsidRPr="00A41EA3" w:rsidRDefault="00F60FAA" w:rsidP="00C01C52">
    <w:pPr>
      <w:pStyle w:val="Footer"/>
      <w:jc w:val="center"/>
      <w:rPr>
        <w:sz w:val="20"/>
      </w:rPr>
    </w:pPr>
    <w:r w:rsidRPr="00A41EA3">
      <w:rPr>
        <w:sz w:val="20"/>
      </w:rPr>
      <w:fldChar w:fldCharType="begin"/>
    </w:r>
    <w:r w:rsidRPr="00A41EA3">
      <w:rPr>
        <w:sz w:val="20"/>
      </w:rPr>
      <w:instrText xml:space="preserve"> PAGE   \* MERGEFORMAT </w:instrText>
    </w:r>
    <w:r w:rsidRPr="00A41EA3">
      <w:rPr>
        <w:sz w:val="20"/>
      </w:rPr>
      <w:fldChar w:fldCharType="separate"/>
    </w:r>
    <w:r>
      <w:rPr>
        <w:noProof/>
        <w:sz w:val="20"/>
      </w:rPr>
      <w:t>11</w:t>
    </w:r>
    <w:r w:rsidRPr="00A41EA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D6A3" w14:textId="77777777" w:rsidR="00000000" w:rsidRDefault="00F60FAA">
      <w:pPr>
        <w:spacing w:line="240" w:lineRule="auto"/>
      </w:pPr>
      <w:r>
        <w:separator/>
      </w:r>
    </w:p>
  </w:footnote>
  <w:footnote w:type="continuationSeparator" w:id="0">
    <w:p w14:paraId="533BD6A5" w14:textId="77777777" w:rsidR="00000000" w:rsidRDefault="00F60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D6A1" w14:textId="77777777" w:rsidR="005D67C6" w:rsidRDefault="00F6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CAE"/>
    <w:multiLevelType w:val="hybridMultilevel"/>
    <w:tmpl w:val="E4C2641A"/>
    <w:lvl w:ilvl="0" w:tplc="6C022560">
      <w:start w:val="1"/>
      <w:numFmt w:val="bullet"/>
      <w:lvlText w:val=""/>
      <w:lvlJc w:val="left"/>
      <w:pPr>
        <w:ind w:left="786" w:hanging="360"/>
      </w:pPr>
      <w:rPr>
        <w:rFonts w:ascii="Symbol" w:hAnsi="Symbol" w:hint="default"/>
      </w:rPr>
    </w:lvl>
    <w:lvl w:ilvl="1" w:tplc="1E16715E" w:tentative="1">
      <w:start w:val="1"/>
      <w:numFmt w:val="bullet"/>
      <w:lvlText w:val="o"/>
      <w:lvlJc w:val="left"/>
      <w:pPr>
        <w:ind w:left="1506" w:hanging="360"/>
      </w:pPr>
      <w:rPr>
        <w:rFonts w:ascii="Courier New" w:hAnsi="Courier New" w:cs="Courier New" w:hint="default"/>
      </w:rPr>
    </w:lvl>
    <w:lvl w:ilvl="2" w:tplc="B4B62718" w:tentative="1">
      <w:start w:val="1"/>
      <w:numFmt w:val="bullet"/>
      <w:lvlText w:val=""/>
      <w:lvlJc w:val="left"/>
      <w:pPr>
        <w:ind w:left="2226" w:hanging="360"/>
      </w:pPr>
      <w:rPr>
        <w:rFonts w:ascii="Wingdings" w:hAnsi="Wingdings" w:hint="default"/>
      </w:rPr>
    </w:lvl>
    <w:lvl w:ilvl="3" w:tplc="49B4D7E0" w:tentative="1">
      <w:start w:val="1"/>
      <w:numFmt w:val="bullet"/>
      <w:lvlText w:val=""/>
      <w:lvlJc w:val="left"/>
      <w:pPr>
        <w:ind w:left="2946" w:hanging="360"/>
      </w:pPr>
      <w:rPr>
        <w:rFonts w:ascii="Symbol" w:hAnsi="Symbol" w:hint="default"/>
      </w:rPr>
    </w:lvl>
    <w:lvl w:ilvl="4" w:tplc="56AEB4A6" w:tentative="1">
      <w:start w:val="1"/>
      <w:numFmt w:val="bullet"/>
      <w:lvlText w:val="o"/>
      <w:lvlJc w:val="left"/>
      <w:pPr>
        <w:ind w:left="3666" w:hanging="360"/>
      </w:pPr>
      <w:rPr>
        <w:rFonts w:ascii="Courier New" w:hAnsi="Courier New" w:cs="Courier New" w:hint="default"/>
      </w:rPr>
    </w:lvl>
    <w:lvl w:ilvl="5" w:tplc="BE986D0A" w:tentative="1">
      <w:start w:val="1"/>
      <w:numFmt w:val="bullet"/>
      <w:lvlText w:val=""/>
      <w:lvlJc w:val="left"/>
      <w:pPr>
        <w:ind w:left="4386" w:hanging="360"/>
      </w:pPr>
      <w:rPr>
        <w:rFonts w:ascii="Wingdings" w:hAnsi="Wingdings" w:hint="default"/>
      </w:rPr>
    </w:lvl>
    <w:lvl w:ilvl="6" w:tplc="7E7CFA3E" w:tentative="1">
      <w:start w:val="1"/>
      <w:numFmt w:val="bullet"/>
      <w:lvlText w:val=""/>
      <w:lvlJc w:val="left"/>
      <w:pPr>
        <w:ind w:left="5106" w:hanging="360"/>
      </w:pPr>
      <w:rPr>
        <w:rFonts w:ascii="Symbol" w:hAnsi="Symbol" w:hint="default"/>
      </w:rPr>
    </w:lvl>
    <w:lvl w:ilvl="7" w:tplc="CC9E74D6" w:tentative="1">
      <w:start w:val="1"/>
      <w:numFmt w:val="bullet"/>
      <w:lvlText w:val="o"/>
      <w:lvlJc w:val="left"/>
      <w:pPr>
        <w:ind w:left="5826" w:hanging="360"/>
      </w:pPr>
      <w:rPr>
        <w:rFonts w:ascii="Courier New" w:hAnsi="Courier New" w:cs="Courier New" w:hint="default"/>
      </w:rPr>
    </w:lvl>
    <w:lvl w:ilvl="8" w:tplc="B34CDCAE" w:tentative="1">
      <w:start w:val="1"/>
      <w:numFmt w:val="bullet"/>
      <w:lvlText w:val=""/>
      <w:lvlJc w:val="left"/>
      <w:pPr>
        <w:ind w:left="6546" w:hanging="360"/>
      </w:pPr>
      <w:rPr>
        <w:rFonts w:ascii="Wingdings" w:hAnsi="Wingdings" w:hint="default"/>
      </w:rPr>
    </w:lvl>
  </w:abstractNum>
  <w:abstractNum w:abstractNumId="1" w15:restartNumberingAfterBreak="0">
    <w:nsid w:val="12A6231B"/>
    <w:multiLevelType w:val="hybridMultilevel"/>
    <w:tmpl w:val="0010B0A0"/>
    <w:lvl w:ilvl="0" w:tplc="81AC2268">
      <w:start w:val="1"/>
      <w:numFmt w:val="bullet"/>
      <w:lvlText w:val="u"/>
      <w:lvlJc w:val="left"/>
      <w:pPr>
        <w:ind w:left="720" w:hanging="360"/>
      </w:pPr>
      <w:rPr>
        <w:rFonts w:ascii="Wingdings 3" w:hAnsi="Wingdings 3" w:hint="default"/>
      </w:rPr>
    </w:lvl>
    <w:lvl w:ilvl="1" w:tplc="42761604" w:tentative="1">
      <w:start w:val="1"/>
      <w:numFmt w:val="bullet"/>
      <w:lvlText w:val="o"/>
      <w:lvlJc w:val="left"/>
      <w:pPr>
        <w:ind w:left="1440" w:hanging="360"/>
      </w:pPr>
      <w:rPr>
        <w:rFonts w:ascii="Courier New" w:hAnsi="Courier New" w:cs="Courier New" w:hint="default"/>
      </w:rPr>
    </w:lvl>
    <w:lvl w:ilvl="2" w:tplc="1EC4C21A" w:tentative="1">
      <w:start w:val="1"/>
      <w:numFmt w:val="bullet"/>
      <w:lvlText w:val=""/>
      <w:lvlJc w:val="left"/>
      <w:pPr>
        <w:ind w:left="2160" w:hanging="360"/>
      </w:pPr>
      <w:rPr>
        <w:rFonts w:ascii="Wingdings" w:hAnsi="Wingdings" w:hint="default"/>
      </w:rPr>
    </w:lvl>
    <w:lvl w:ilvl="3" w:tplc="02C80A34" w:tentative="1">
      <w:start w:val="1"/>
      <w:numFmt w:val="bullet"/>
      <w:lvlText w:val=""/>
      <w:lvlJc w:val="left"/>
      <w:pPr>
        <w:ind w:left="2880" w:hanging="360"/>
      </w:pPr>
      <w:rPr>
        <w:rFonts w:ascii="Symbol" w:hAnsi="Symbol" w:hint="default"/>
      </w:rPr>
    </w:lvl>
    <w:lvl w:ilvl="4" w:tplc="E5A69DE4" w:tentative="1">
      <w:start w:val="1"/>
      <w:numFmt w:val="bullet"/>
      <w:lvlText w:val="o"/>
      <w:lvlJc w:val="left"/>
      <w:pPr>
        <w:ind w:left="3600" w:hanging="360"/>
      </w:pPr>
      <w:rPr>
        <w:rFonts w:ascii="Courier New" w:hAnsi="Courier New" w:cs="Courier New" w:hint="default"/>
      </w:rPr>
    </w:lvl>
    <w:lvl w:ilvl="5" w:tplc="C1C6856A" w:tentative="1">
      <w:start w:val="1"/>
      <w:numFmt w:val="bullet"/>
      <w:lvlText w:val=""/>
      <w:lvlJc w:val="left"/>
      <w:pPr>
        <w:ind w:left="4320" w:hanging="360"/>
      </w:pPr>
      <w:rPr>
        <w:rFonts w:ascii="Wingdings" w:hAnsi="Wingdings" w:hint="default"/>
      </w:rPr>
    </w:lvl>
    <w:lvl w:ilvl="6" w:tplc="B63478B2" w:tentative="1">
      <w:start w:val="1"/>
      <w:numFmt w:val="bullet"/>
      <w:lvlText w:val=""/>
      <w:lvlJc w:val="left"/>
      <w:pPr>
        <w:ind w:left="5040" w:hanging="360"/>
      </w:pPr>
      <w:rPr>
        <w:rFonts w:ascii="Symbol" w:hAnsi="Symbol" w:hint="default"/>
      </w:rPr>
    </w:lvl>
    <w:lvl w:ilvl="7" w:tplc="D5CEEDBA" w:tentative="1">
      <w:start w:val="1"/>
      <w:numFmt w:val="bullet"/>
      <w:lvlText w:val="o"/>
      <w:lvlJc w:val="left"/>
      <w:pPr>
        <w:ind w:left="5760" w:hanging="360"/>
      </w:pPr>
      <w:rPr>
        <w:rFonts w:ascii="Courier New" w:hAnsi="Courier New" w:cs="Courier New" w:hint="default"/>
      </w:rPr>
    </w:lvl>
    <w:lvl w:ilvl="8" w:tplc="C004F1F2"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4086D03A"/>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B594D35"/>
    <w:multiLevelType w:val="hybridMultilevel"/>
    <w:tmpl w:val="3A5892A4"/>
    <w:lvl w:ilvl="0" w:tplc="F69662FA">
      <w:start w:val="1"/>
      <w:numFmt w:val="decimal"/>
      <w:lvlText w:val="%1."/>
      <w:lvlJc w:val="left"/>
      <w:pPr>
        <w:ind w:left="360" w:hanging="360"/>
      </w:pPr>
    </w:lvl>
    <w:lvl w:ilvl="1" w:tplc="AA96B74E" w:tentative="1">
      <w:start w:val="1"/>
      <w:numFmt w:val="lowerLetter"/>
      <w:lvlText w:val="%2."/>
      <w:lvlJc w:val="left"/>
      <w:pPr>
        <w:ind w:left="1080" w:hanging="360"/>
      </w:pPr>
    </w:lvl>
    <w:lvl w:ilvl="2" w:tplc="B1988824" w:tentative="1">
      <w:start w:val="1"/>
      <w:numFmt w:val="lowerRoman"/>
      <w:lvlText w:val="%3."/>
      <w:lvlJc w:val="right"/>
      <w:pPr>
        <w:ind w:left="1800" w:hanging="180"/>
      </w:pPr>
    </w:lvl>
    <w:lvl w:ilvl="3" w:tplc="3D80AA5C" w:tentative="1">
      <w:start w:val="1"/>
      <w:numFmt w:val="decimal"/>
      <w:lvlText w:val="%4."/>
      <w:lvlJc w:val="left"/>
      <w:pPr>
        <w:ind w:left="2520" w:hanging="360"/>
      </w:pPr>
    </w:lvl>
    <w:lvl w:ilvl="4" w:tplc="2DC2C15A" w:tentative="1">
      <w:start w:val="1"/>
      <w:numFmt w:val="lowerLetter"/>
      <w:lvlText w:val="%5."/>
      <w:lvlJc w:val="left"/>
      <w:pPr>
        <w:ind w:left="3240" w:hanging="360"/>
      </w:pPr>
    </w:lvl>
    <w:lvl w:ilvl="5" w:tplc="52E6978A" w:tentative="1">
      <w:start w:val="1"/>
      <w:numFmt w:val="lowerRoman"/>
      <w:lvlText w:val="%6."/>
      <w:lvlJc w:val="right"/>
      <w:pPr>
        <w:ind w:left="3960" w:hanging="180"/>
      </w:pPr>
    </w:lvl>
    <w:lvl w:ilvl="6" w:tplc="2FDEADC0" w:tentative="1">
      <w:start w:val="1"/>
      <w:numFmt w:val="decimal"/>
      <w:lvlText w:val="%7."/>
      <w:lvlJc w:val="left"/>
      <w:pPr>
        <w:ind w:left="4680" w:hanging="360"/>
      </w:pPr>
    </w:lvl>
    <w:lvl w:ilvl="7" w:tplc="4582D78E" w:tentative="1">
      <w:start w:val="1"/>
      <w:numFmt w:val="lowerLetter"/>
      <w:lvlText w:val="%8."/>
      <w:lvlJc w:val="left"/>
      <w:pPr>
        <w:ind w:left="5400" w:hanging="360"/>
      </w:pPr>
    </w:lvl>
    <w:lvl w:ilvl="8" w:tplc="FB18707E" w:tentative="1">
      <w:start w:val="1"/>
      <w:numFmt w:val="lowerRoman"/>
      <w:lvlText w:val="%9."/>
      <w:lvlJc w:val="right"/>
      <w:pPr>
        <w:ind w:left="6120" w:hanging="180"/>
      </w:pPr>
    </w:lvl>
  </w:abstractNum>
  <w:abstractNum w:abstractNumId="4" w15:restartNumberingAfterBreak="0">
    <w:nsid w:val="2422573E"/>
    <w:multiLevelType w:val="hybridMultilevel"/>
    <w:tmpl w:val="6046EBE2"/>
    <w:lvl w:ilvl="0" w:tplc="0B3C7D7A">
      <w:start w:val="1"/>
      <w:numFmt w:val="decimal"/>
      <w:lvlText w:val="%1."/>
      <w:lvlJc w:val="left"/>
      <w:pPr>
        <w:ind w:left="717" w:hanging="360"/>
      </w:pPr>
    </w:lvl>
    <w:lvl w:ilvl="1" w:tplc="41385390" w:tentative="1">
      <w:start w:val="1"/>
      <w:numFmt w:val="lowerLetter"/>
      <w:lvlText w:val="%2."/>
      <w:lvlJc w:val="left"/>
      <w:pPr>
        <w:ind w:left="1437" w:hanging="360"/>
      </w:pPr>
    </w:lvl>
    <w:lvl w:ilvl="2" w:tplc="2286CD20" w:tentative="1">
      <w:start w:val="1"/>
      <w:numFmt w:val="lowerRoman"/>
      <w:lvlText w:val="%3."/>
      <w:lvlJc w:val="right"/>
      <w:pPr>
        <w:ind w:left="2157" w:hanging="180"/>
      </w:pPr>
    </w:lvl>
    <w:lvl w:ilvl="3" w:tplc="CF0219B6" w:tentative="1">
      <w:start w:val="1"/>
      <w:numFmt w:val="decimal"/>
      <w:lvlText w:val="%4."/>
      <w:lvlJc w:val="left"/>
      <w:pPr>
        <w:ind w:left="2877" w:hanging="360"/>
      </w:pPr>
    </w:lvl>
    <w:lvl w:ilvl="4" w:tplc="E3F252F6" w:tentative="1">
      <w:start w:val="1"/>
      <w:numFmt w:val="lowerLetter"/>
      <w:lvlText w:val="%5."/>
      <w:lvlJc w:val="left"/>
      <w:pPr>
        <w:ind w:left="3597" w:hanging="360"/>
      </w:pPr>
    </w:lvl>
    <w:lvl w:ilvl="5" w:tplc="F7F04F10" w:tentative="1">
      <w:start w:val="1"/>
      <w:numFmt w:val="lowerRoman"/>
      <w:lvlText w:val="%6."/>
      <w:lvlJc w:val="right"/>
      <w:pPr>
        <w:ind w:left="4317" w:hanging="180"/>
      </w:pPr>
    </w:lvl>
    <w:lvl w:ilvl="6" w:tplc="7F263F74" w:tentative="1">
      <w:start w:val="1"/>
      <w:numFmt w:val="decimal"/>
      <w:lvlText w:val="%7."/>
      <w:lvlJc w:val="left"/>
      <w:pPr>
        <w:ind w:left="5037" w:hanging="360"/>
      </w:pPr>
    </w:lvl>
    <w:lvl w:ilvl="7" w:tplc="AC002C92" w:tentative="1">
      <w:start w:val="1"/>
      <w:numFmt w:val="lowerLetter"/>
      <w:lvlText w:val="%8."/>
      <w:lvlJc w:val="left"/>
      <w:pPr>
        <w:ind w:left="5757" w:hanging="360"/>
      </w:pPr>
    </w:lvl>
    <w:lvl w:ilvl="8" w:tplc="6CFA238E" w:tentative="1">
      <w:start w:val="1"/>
      <w:numFmt w:val="lowerRoman"/>
      <w:lvlText w:val="%9."/>
      <w:lvlJc w:val="right"/>
      <w:pPr>
        <w:ind w:left="6477" w:hanging="180"/>
      </w:pPr>
    </w:lvl>
  </w:abstractNum>
  <w:abstractNum w:abstractNumId="5" w15:restartNumberingAfterBreak="0">
    <w:nsid w:val="33A21400"/>
    <w:multiLevelType w:val="hybridMultilevel"/>
    <w:tmpl w:val="07DE42E6"/>
    <w:lvl w:ilvl="0" w:tplc="85F0E0AE">
      <w:start w:val="1"/>
      <w:numFmt w:val="bullet"/>
      <w:lvlText w:val=""/>
      <w:lvlJc w:val="left"/>
      <w:pPr>
        <w:ind w:left="1434" w:hanging="360"/>
      </w:pPr>
      <w:rPr>
        <w:rFonts w:ascii="Symbol" w:hAnsi="Symbol" w:hint="default"/>
      </w:rPr>
    </w:lvl>
    <w:lvl w:ilvl="1" w:tplc="F29E5F8C" w:tentative="1">
      <w:start w:val="1"/>
      <w:numFmt w:val="bullet"/>
      <w:lvlText w:val="o"/>
      <w:lvlJc w:val="left"/>
      <w:pPr>
        <w:ind w:left="2154" w:hanging="360"/>
      </w:pPr>
      <w:rPr>
        <w:rFonts w:ascii="Courier New" w:hAnsi="Courier New" w:cs="Courier New" w:hint="default"/>
      </w:rPr>
    </w:lvl>
    <w:lvl w:ilvl="2" w:tplc="DF3234A0" w:tentative="1">
      <w:start w:val="1"/>
      <w:numFmt w:val="bullet"/>
      <w:lvlText w:val=""/>
      <w:lvlJc w:val="left"/>
      <w:pPr>
        <w:ind w:left="2874" w:hanging="360"/>
      </w:pPr>
      <w:rPr>
        <w:rFonts w:ascii="Wingdings" w:hAnsi="Wingdings" w:hint="default"/>
      </w:rPr>
    </w:lvl>
    <w:lvl w:ilvl="3" w:tplc="31BEA2B6" w:tentative="1">
      <w:start w:val="1"/>
      <w:numFmt w:val="bullet"/>
      <w:lvlText w:val=""/>
      <w:lvlJc w:val="left"/>
      <w:pPr>
        <w:ind w:left="3594" w:hanging="360"/>
      </w:pPr>
      <w:rPr>
        <w:rFonts w:ascii="Symbol" w:hAnsi="Symbol" w:hint="default"/>
      </w:rPr>
    </w:lvl>
    <w:lvl w:ilvl="4" w:tplc="9DE84B0E" w:tentative="1">
      <w:start w:val="1"/>
      <w:numFmt w:val="bullet"/>
      <w:lvlText w:val="o"/>
      <w:lvlJc w:val="left"/>
      <w:pPr>
        <w:ind w:left="4314" w:hanging="360"/>
      </w:pPr>
      <w:rPr>
        <w:rFonts w:ascii="Courier New" w:hAnsi="Courier New" w:cs="Courier New" w:hint="default"/>
      </w:rPr>
    </w:lvl>
    <w:lvl w:ilvl="5" w:tplc="DC3EB592" w:tentative="1">
      <w:start w:val="1"/>
      <w:numFmt w:val="bullet"/>
      <w:lvlText w:val=""/>
      <w:lvlJc w:val="left"/>
      <w:pPr>
        <w:ind w:left="5034" w:hanging="360"/>
      </w:pPr>
      <w:rPr>
        <w:rFonts w:ascii="Wingdings" w:hAnsi="Wingdings" w:hint="default"/>
      </w:rPr>
    </w:lvl>
    <w:lvl w:ilvl="6" w:tplc="28E64CF0" w:tentative="1">
      <w:start w:val="1"/>
      <w:numFmt w:val="bullet"/>
      <w:lvlText w:val=""/>
      <w:lvlJc w:val="left"/>
      <w:pPr>
        <w:ind w:left="5754" w:hanging="360"/>
      </w:pPr>
      <w:rPr>
        <w:rFonts w:ascii="Symbol" w:hAnsi="Symbol" w:hint="default"/>
      </w:rPr>
    </w:lvl>
    <w:lvl w:ilvl="7" w:tplc="EDC4F746" w:tentative="1">
      <w:start w:val="1"/>
      <w:numFmt w:val="bullet"/>
      <w:lvlText w:val="o"/>
      <w:lvlJc w:val="left"/>
      <w:pPr>
        <w:ind w:left="6474" w:hanging="360"/>
      </w:pPr>
      <w:rPr>
        <w:rFonts w:ascii="Courier New" w:hAnsi="Courier New" w:cs="Courier New" w:hint="default"/>
      </w:rPr>
    </w:lvl>
    <w:lvl w:ilvl="8" w:tplc="BF049C7E" w:tentative="1">
      <w:start w:val="1"/>
      <w:numFmt w:val="bullet"/>
      <w:lvlText w:val=""/>
      <w:lvlJc w:val="left"/>
      <w:pPr>
        <w:ind w:left="7194" w:hanging="360"/>
      </w:pPr>
      <w:rPr>
        <w:rFonts w:ascii="Wingdings" w:hAnsi="Wingdings" w:hint="default"/>
      </w:rPr>
    </w:lvl>
  </w:abstractNum>
  <w:abstractNum w:abstractNumId="6" w15:restartNumberingAfterBreak="0">
    <w:nsid w:val="3C3E65AC"/>
    <w:multiLevelType w:val="hybridMultilevel"/>
    <w:tmpl w:val="6EBEDD32"/>
    <w:lvl w:ilvl="0" w:tplc="1480E1DE">
      <w:start w:val="1"/>
      <w:numFmt w:val="bullet"/>
      <w:lvlText w:val=""/>
      <w:lvlJc w:val="left"/>
      <w:pPr>
        <w:ind w:left="786" w:hanging="360"/>
      </w:pPr>
      <w:rPr>
        <w:rFonts w:ascii="Symbol" w:hAnsi="Symbol" w:hint="default"/>
      </w:rPr>
    </w:lvl>
    <w:lvl w:ilvl="1" w:tplc="AC7A42A2" w:tentative="1">
      <w:start w:val="1"/>
      <w:numFmt w:val="bullet"/>
      <w:lvlText w:val="o"/>
      <w:lvlJc w:val="left"/>
      <w:pPr>
        <w:ind w:left="1506" w:hanging="360"/>
      </w:pPr>
      <w:rPr>
        <w:rFonts w:ascii="Courier New" w:hAnsi="Courier New" w:cs="Courier New" w:hint="default"/>
      </w:rPr>
    </w:lvl>
    <w:lvl w:ilvl="2" w:tplc="C50AB862" w:tentative="1">
      <w:start w:val="1"/>
      <w:numFmt w:val="bullet"/>
      <w:lvlText w:val=""/>
      <w:lvlJc w:val="left"/>
      <w:pPr>
        <w:ind w:left="2226" w:hanging="360"/>
      </w:pPr>
      <w:rPr>
        <w:rFonts w:ascii="Wingdings" w:hAnsi="Wingdings" w:hint="default"/>
      </w:rPr>
    </w:lvl>
    <w:lvl w:ilvl="3" w:tplc="25E2CF42" w:tentative="1">
      <w:start w:val="1"/>
      <w:numFmt w:val="bullet"/>
      <w:lvlText w:val=""/>
      <w:lvlJc w:val="left"/>
      <w:pPr>
        <w:ind w:left="2946" w:hanging="360"/>
      </w:pPr>
      <w:rPr>
        <w:rFonts w:ascii="Symbol" w:hAnsi="Symbol" w:hint="default"/>
      </w:rPr>
    </w:lvl>
    <w:lvl w:ilvl="4" w:tplc="A72A95F8" w:tentative="1">
      <w:start w:val="1"/>
      <w:numFmt w:val="bullet"/>
      <w:lvlText w:val="o"/>
      <w:lvlJc w:val="left"/>
      <w:pPr>
        <w:ind w:left="3666" w:hanging="360"/>
      </w:pPr>
      <w:rPr>
        <w:rFonts w:ascii="Courier New" w:hAnsi="Courier New" w:cs="Courier New" w:hint="default"/>
      </w:rPr>
    </w:lvl>
    <w:lvl w:ilvl="5" w:tplc="C702309C" w:tentative="1">
      <w:start w:val="1"/>
      <w:numFmt w:val="bullet"/>
      <w:lvlText w:val=""/>
      <w:lvlJc w:val="left"/>
      <w:pPr>
        <w:ind w:left="4386" w:hanging="360"/>
      </w:pPr>
      <w:rPr>
        <w:rFonts w:ascii="Wingdings" w:hAnsi="Wingdings" w:hint="default"/>
      </w:rPr>
    </w:lvl>
    <w:lvl w:ilvl="6" w:tplc="41F6ED92" w:tentative="1">
      <w:start w:val="1"/>
      <w:numFmt w:val="bullet"/>
      <w:lvlText w:val=""/>
      <w:lvlJc w:val="left"/>
      <w:pPr>
        <w:ind w:left="5106" w:hanging="360"/>
      </w:pPr>
      <w:rPr>
        <w:rFonts w:ascii="Symbol" w:hAnsi="Symbol" w:hint="default"/>
      </w:rPr>
    </w:lvl>
    <w:lvl w:ilvl="7" w:tplc="B44C679E" w:tentative="1">
      <w:start w:val="1"/>
      <w:numFmt w:val="bullet"/>
      <w:lvlText w:val="o"/>
      <w:lvlJc w:val="left"/>
      <w:pPr>
        <w:ind w:left="5826" w:hanging="360"/>
      </w:pPr>
      <w:rPr>
        <w:rFonts w:ascii="Courier New" w:hAnsi="Courier New" w:cs="Courier New" w:hint="default"/>
      </w:rPr>
    </w:lvl>
    <w:lvl w:ilvl="8" w:tplc="81CAC150" w:tentative="1">
      <w:start w:val="1"/>
      <w:numFmt w:val="bullet"/>
      <w:lvlText w:val=""/>
      <w:lvlJc w:val="left"/>
      <w:pPr>
        <w:ind w:left="6546" w:hanging="360"/>
      </w:pPr>
      <w:rPr>
        <w:rFonts w:ascii="Wingdings" w:hAnsi="Wingdings" w:hint="default"/>
      </w:rPr>
    </w:lvl>
  </w:abstractNum>
  <w:abstractNum w:abstractNumId="7" w15:restartNumberingAfterBreak="0">
    <w:nsid w:val="55E758BB"/>
    <w:multiLevelType w:val="hybridMultilevel"/>
    <w:tmpl w:val="9AC4CF4E"/>
    <w:lvl w:ilvl="0" w:tplc="15B05F18">
      <w:start w:val="1"/>
      <w:numFmt w:val="bullet"/>
      <w:lvlText w:val=""/>
      <w:lvlJc w:val="left"/>
      <w:pPr>
        <w:ind w:left="1080" w:hanging="360"/>
      </w:pPr>
      <w:rPr>
        <w:rFonts w:ascii="Symbol" w:hAnsi="Symbol" w:hint="default"/>
      </w:rPr>
    </w:lvl>
    <w:lvl w:ilvl="1" w:tplc="9EDAB6AE" w:tentative="1">
      <w:start w:val="1"/>
      <w:numFmt w:val="bullet"/>
      <w:lvlText w:val="o"/>
      <w:lvlJc w:val="left"/>
      <w:pPr>
        <w:ind w:left="1800" w:hanging="360"/>
      </w:pPr>
      <w:rPr>
        <w:rFonts w:ascii="Courier New" w:hAnsi="Courier New" w:cs="Courier New" w:hint="default"/>
      </w:rPr>
    </w:lvl>
    <w:lvl w:ilvl="2" w:tplc="C0F0669A" w:tentative="1">
      <w:start w:val="1"/>
      <w:numFmt w:val="bullet"/>
      <w:lvlText w:val=""/>
      <w:lvlJc w:val="left"/>
      <w:pPr>
        <w:ind w:left="2520" w:hanging="360"/>
      </w:pPr>
      <w:rPr>
        <w:rFonts w:ascii="Wingdings" w:hAnsi="Wingdings" w:hint="default"/>
      </w:rPr>
    </w:lvl>
    <w:lvl w:ilvl="3" w:tplc="C2B89F9C" w:tentative="1">
      <w:start w:val="1"/>
      <w:numFmt w:val="bullet"/>
      <w:lvlText w:val=""/>
      <w:lvlJc w:val="left"/>
      <w:pPr>
        <w:ind w:left="3240" w:hanging="360"/>
      </w:pPr>
      <w:rPr>
        <w:rFonts w:ascii="Symbol" w:hAnsi="Symbol" w:hint="default"/>
      </w:rPr>
    </w:lvl>
    <w:lvl w:ilvl="4" w:tplc="8CA660B6" w:tentative="1">
      <w:start w:val="1"/>
      <w:numFmt w:val="bullet"/>
      <w:lvlText w:val="o"/>
      <w:lvlJc w:val="left"/>
      <w:pPr>
        <w:ind w:left="3960" w:hanging="360"/>
      </w:pPr>
      <w:rPr>
        <w:rFonts w:ascii="Courier New" w:hAnsi="Courier New" w:cs="Courier New" w:hint="default"/>
      </w:rPr>
    </w:lvl>
    <w:lvl w:ilvl="5" w:tplc="AEAED9D4" w:tentative="1">
      <w:start w:val="1"/>
      <w:numFmt w:val="bullet"/>
      <w:lvlText w:val=""/>
      <w:lvlJc w:val="left"/>
      <w:pPr>
        <w:ind w:left="4680" w:hanging="360"/>
      </w:pPr>
      <w:rPr>
        <w:rFonts w:ascii="Wingdings" w:hAnsi="Wingdings" w:hint="default"/>
      </w:rPr>
    </w:lvl>
    <w:lvl w:ilvl="6" w:tplc="22489DFA" w:tentative="1">
      <w:start w:val="1"/>
      <w:numFmt w:val="bullet"/>
      <w:lvlText w:val=""/>
      <w:lvlJc w:val="left"/>
      <w:pPr>
        <w:ind w:left="5400" w:hanging="360"/>
      </w:pPr>
      <w:rPr>
        <w:rFonts w:ascii="Symbol" w:hAnsi="Symbol" w:hint="default"/>
      </w:rPr>
    </w:lvl>
    <w:lvl w:ilvl="7" w:tplc="FCACDC7E" w:tentative="1">
      <w:start w:val="1"/>
      <w:numFmt w:val="bullet"/>
      <w:lvlText w:val="o"/>
      <w:lvlJc w:val="left"/>
      <w:pPr>
        <w:ind w:left="6120" w:hanging="360"/>
      </w:pPr>
      <w:rPr>
        <w:rFonts w:ascii="Courier New" w:hAnsi="Courier New" w:cs="Courier New" w:hint="default"/>
      </w:rPr>
    </w:lvl>
    <w:lvl w:ilvl="8" w:tplc="891A3ACC" w:tentative="1">
      <w:start w:val="1"/>
      <w:numFmt w:val="bullet"/>
      <w:lvlText w:val=""/>
      <w:lvlJc w:val="left"/>
      <w:pPr>
        <w:ind w:left="6840" w:hanging="360"/>
      </w:pPr>
      <w:rPr>
        <w:rFonts w:ascii="Wingdings" w:hAnsi="Wingdings" w:hint="default"/>
      </w:rPr>
    </w:lvl>
  </w:abstractNum>
  <w:abstractNum w:abstractNumId="8" w15:restartNumberingAfterBreak="0">
    <w:nsid w:val="59821D5B"/>
    <w:multiLevelType w:val="hybridMultilevel"/>
    <w:tmpl w:val="CF265D7E"/>
    <w:lvl w:ilvl="0" w:tplc="9DF8B520">
      <w:start w:val="1"/>
      <w:numFmt w:val="decimal"/>
      <w:lvlText w:val="%1."/>
      <w:lvlJc w:val="left"/>
      <w:pPr>
        <w:ind w:left="720" w:hanging="360"/>
      </w:pPr>
      <w:rPr>
        <w:rFonts w:hint="default"/>
        <w:b/>
      </w:rPr>
    </w:lvl>
    <w:lvl w:ilvl="1" w:tplc="FEC80976" w:tentative="1">
      <w:start w:val="1"/>
      <w:numFmt w:val="lowerLetter"/>
      <w:lvlText w:val="%2."/>
      <w:lvlJc w:val="left"/>
      <w:pPr>
        <w:ind w:left="1440" w:hanging="360"/>
      </w:pPr>
    </w:lvl>
    <w:lvl w:ilvl="2" w:tplc="4058EA50" w:tentative="1">
      <w:start w:val="1"/>
      <w:numFmt w:val="lowerRoman"/>
      <w:lvlText w:val="%3."/>
      <w:lvlJc w:val="right"/>
      <w:pPr>
        <w:ind w:left="2160" w:hanging="180"/>
      </w:pPr>
    </w:lvl>
    <w:lvl w:ilvl="3" w:tplc="9AF89598" w:tentative="1">
      <w:start w:val="1"/>
      <w:numFmt w:val="decimal"/>
      <w:lvlText w:val="%4."/>
      <w:lvlJc w:val="left"/>
      <w:pPr>
        <w:ind w:left="2880" w:hanging="360"/>
      </w:pPr>
    </w:lvl>
    <w:lvl w:ilvl="4" w:tplc="63842682" w:tentative="1">
      <w:start w:val="1"/>
      <w:numFmt w:val="lowerLetter"/>
      <w:lvlText w:val="%5."/>
      <w:lvlJc w:val="left"/>
      <w:pPr>
        <w:ind w:left="3600" w:hanging="360"/>
      </w:pPr>
    </w:lvl>
    <w:lvl w:ilvl="5" w:tplc="B7B2C110" w:tentative="1">
      <w:start w:val="1"/>
      <w:numFmt w:val="lowerRoman"/>
      <w:lvlText w:val="%6."/>
      <w:lvlJc w:val="right"/>
      <w:pPr>
        <w:ind w:left="4320" w:hanging="180"/>
      </w:pPr>
    </w:lvl>
    <w:lvl w:ilvl="6" w:tplc="27FC6E94" w:tentative="1">
      <w:start w:val="1"/>
      <w:numFmt w:val="decimal"/>
      <w:lvlText w:val="%7."/>
      <w:lvlJc w:val="left"/>
      <w:pPr>
        <w:ind w:left="5040" w:hanging="360"/>
      </w:pPr>
    </w:lvl>
    <w:lvl w:ilvl="7" w:tplc="C1601152" w:tentative="1">
      <w:start w:val="1"/>
      <w:numFmt w:val="lowerLetter"/>
      <w:lvlText w:val="%8."/>
      <w:lvlJc w:val="left"/>
      <w:pPr>
        <w:ind w:left="5760" w:hanging="360"/>
      </w:pPr>
    </w:lvl>
    <w:lvl w:ilvl="8" w:tplc="D1066650" w:tentative="1">
      <w:start w:val="1"/>
      <w:numFmt w:val="lowerRoman"/>
      <w:lvlText w:val="%9."/>
      <w:lvlJc w:val="right"/>
      <w:pPr>
        <w:ind w:left="6480" w:hanging="180"/>
      </w:pPr>
    </w:lvl>
  </w:abstractNum>
  <w:abstractNum w:abstractNumId="9" w15:restartNumberingAfterBreak="0">
    <w:nsid w:val="5E373F96"/>
    <w:multiLevelType w:val="hybridMultilevel"/>
    <w:tmpl w:val="ED30FA00"/>
    <w:lvl w:ilvl="0" w:tplc="A13AD5C2">
      <w:start w:val="1"/>
      <w:numFmt w:val="decimal"/>
      <w:pStyle w:val="ListParagraph"/>
      <w:lvlText w:val="%1."/>
      <w:lvlJc w:val="left"/>
      <w:pPr>
        <w:ind w:left="1211" w:hanging="360"/>
      </w:pPr>
      <w:rPr>
        <w:rFonts w:hint="default"/>
        <w:b w:val="0"/>
        <w:color w:val="auto"/>
      </w:rPr>
    </w:lvl>
    <w:lvl w:ilvl="1" w:tplc="281ACB7E">
      <w:start w:val="1"/>
      <w:numFmt w:val="bullet"/>
      <w:lvlText w:val=""/>
      <w:lvlJc w:val="left"/>
      <w:pPr>
        <w:ind w:left="786" w:hanging="360"/>
      </w:pPr>
      <w:rPr>
        <w:rFonts w:ascii="Symbol" w:hAnsi="Symbol" w:hint="default"/>
      </w:rPr>
    </w:lvl>
    <w:lvl w:ilvl="2" w:tplc="17C087E6" w:tentative="1">
      <w:start w:val="1"/>
      <w:numFmt w:val="lowerRoman"/>
      <w:lvlText w:val="%3."/>
      <w:lvlJc w:val="right"/>
      <w:pPr>
        <w:ind w:left="1452" w:hanging="180"/>
      </w:pPr>
    </w:lvl>
    <w:lvl w:ilvl="3" w:tplc="0306514C" w:tentative="1">
      <w:start w:val="1"/>
      <w:numFmt w:val="decimal"/>
      <w:lvlText w:val="%4."/>
      <w:lvlJc w:val="left"/>
      <w:pPr>
        <w:ind w:left="2172" w:hanging="360"/>
      </w:pPr>
    </w:lvl>
    <w:lvl w:ilvl="4" w:tplc="5846D232" w:tentative="1">
      <w:start w:val="1"/>
      <w:numFmt w:val="lowerLetter"/>
      <w:lvlText w:val="%5."/>
      <w:lvlJc w:val="left"/>
      <w:pPr>
        <w:ind w:left="2892" w:hanging="360"/>
      </w:pPr>
    </w:lvl>
    <w:lvl w:ilvl="5" w:tplc="4CA848DC" w:tentative="1">
      <w:start w:val="1"/>
      <w:numFmt w:val="lowerRoman"/>
      <w:lvlText w:val="%6."/>
      <w:lvlJc w:val="right"/>
      <w:pPr>
        <w:ind w:left="3612" w:hanging="180"/>
      </w:pPr>
    </w:lvl>
    <w:lvl w:ilvl="6" w:tplc="8FEA8458" w:tentative="1">
      <w:start w:val="1"/>
      <w:numFmt w:val="decimal"/>
      <w:lvlText w:val="%7."/>
      <w:lvlJc w:val="left"/>
      <w:pPr>
        <w:ind w:left="4332" w:hanging="360"/>
      </w:pPr>
    </w:lvl>
    <w:lvl w:ilvl="7" w:tplc="BF24759A" w:tentative="1">
      <w:start w:val="1"/>
      <w:numFmt w:val="lowerLetter"/>
      <w:lvlText w:val="%8."/>
      <w:lvlJc w:val="left"/>
      <w:pPr>
        <w:ind w:left="5052" w:hanging="360"/>
      </w:pPr>
    </w:lvl>
    <w:lvl w:ilvl="8" w:tplc="EF7ACC76" w:tentative="1">
      <w:start w:val="1"/>
      <w:numFmt w:val="lowerRoman"/>
      <w:lvlText w:val="%9."/>
      <w:lvlJc w:val="right"/>
      <w:pPr>
        <w:ind w:left="5772" w:hanging="180"/>
      </w:pPr>
    </w:lvl>
  </w:abstractNum>
  <w:abstractNum w:abstractNumId="10" w15:restartNumberingAfterBreak="0">
    <w:nsid w:val="5EBF00E5"/>
    <w:multiLevelType w:val="hybridMultilevel"/>
    <w:tmpl w:val="7966B184"/>
    <w:lvl w:ilvl="0" w:tplc="59D6F582">
      <w:start w:val="1"/>
      <w:numFmt w:val="decimal"/>
      <w:lvlText w:val="%1."/>
      <w:lvlJc w:val="left"/>
      <w:pPr>
        <w:ind w:left="720" w:hanging="360"/>
      </w:pPr>
      <w:rPr>
        <w:rFonts w:ascii="Arial" w:hAnsi="Arial" w:hint="default"/>
        <w:b/>
        <w:i w:val="0"/>
        <w:color w:val="auto"/>
      </w:rPr>
    </w:lvl>
    <w:lvl w:ilvl="1" w:tplc="0E8A27B4" w:tentative="1">
      <w:start w:val="1"/>
      <w:numFmt w:val="lowerLetter"/>
      <w:lvlText w:val="%2."/>
      <w:lvlJc w:val="left"/>
      <w:pPr>
        <w:ind w:left="1440" w:hanging="360"/>
      </w:pPr>
    </w:lvl>
    <w:lvl w:ilvl="2" w:tplc="6758202A" w:tentative="1">
      <w:start w:val="1"/>
      <w:numFmt w:val="lowerRoman"/>
      <w:lvlText w:val="%3."/>
      <w:lvlJc w:val="right"/>
      <w:pPr>
        <w:ind w:left="2160" w:hanging="180"/>
      </w:pPr>
    </w:lvl>
    <w:lvl w:ilvl="3" w:tplc="306AD8F8" w:tentative="1">
      <w:start w:val="1"/>
      <w:numFmt w:val="decimal"/>
      <w:lvlText w:val="%4."/>
      <w:lvlJc w:val="left"/>
      <w:pPr>
        <w:ind w:left="2880" w:hanging="360"/>
      </w:pPr>
    </w:lvl>
    <w:lvl w:ilvl="4" w:tplc="33441258" w:tentative="1">
      <w:start w:val="1"/>
      <w:numFmt w:val="lowerLetter"/>
      <w:lvlText w:val="%5."/>
      <w:lvlJc w:val="left"/>
      <w:pPr>
        <w:ind w:left="3600" w:hanging="360"/>
      </w:pPr>
    </w:lvl>
    <w:lvl w:ilvl="5" w:tplc="3BF209B0" w:tentative="1">
      <w:start w:val="1"/>
      <w:numFmt w:val="lowerRoman"/>
      <w:lvlText w:val="%6."/>
      <w:lvlJc w:val="right"/>
      <w:pPr>
        <w:ind w:left="4320" w:hanging="180"/>
      </w:pPr>
    </w:lvl>
    <w:lvl w:ilvl="6" w:tplc="0BDC38B2" w:tentative="1">
      <w:start w:val="1"/>
      <w:numFmt w:val="decimal"/>
      <w:lvlText w:val="%7."/>
      <w:lvlJc w:val="left"/>
      <w:pPr>
        <w:ind w:left="5040" w:hanging="360"/>
      </w:pPr>
    </w:lvl>
    <w:lvl w:ilvl="7" w:tplc="85FC86C4" w:tentative="1">
      <w:start w:val="1"/>
      <w:numFmt w:val="lowerLetter"/>
      <w:lvlText w:val="%8."/>
      <w:lvlJc w:val="left"/>
      <w:pPr>
        <w:ind w:left="5760" w:hanging="360"/>
      </w:pPr>
    </w:lvl>
    <w:lvl w:ilvl="8" w:tplc="B6926D98" w:tentative="1">
      <w:start w:val="1"/>
      <w:numFmt w:val="lowerRoman"/>
      <w:lvlText w:val="%9."/>
      <w:lvlJc w:val="right"/>
      <w:pPr>
        <w:ind w:left="6480" w:hanging="180"/>
      </w:pPr>
    </w:lvl>
  </w:abstractNum>
  <w:abstractNum w:abstractNumId="11" w15:restartNumberingAfterBreak="0">
    <w:nsid w:val="76915A6A"/>
    <w:multiLevelType w:val="hybridMultilevel"/>
    <w:tmpl w:val="B0821648"/>
    <w:lvl w:ilvl="0" w:tplc="A2483F3C">
      <w:start w:val="1"/>
      <w:numFmt w:val="decimal"/>
      <w:lvlText w:val="%1."/>
      <w:lvlJc w:val="left"/>
      <w:pPr>
        <w:ind w:left="360" w:hanging="360"/>
      </w:pPr>
    </w:lvl>
    <w:lvl w:ilvl="1" w:tplc="75D857BC" w:tentative="1">
      <w:start w:val="1"/>
      <w:numFmt w:val="lowerLetter"/>
      <w:lvlText w:val="%2."/>
      <w:lvlJc w:val="left"/>
      <w:pPr>
        <w:ind w:left="1080" w:hanging="360"/>
      </w:pPr>
    </w:lvl>
    <w:lvl w:ilvl="2" w:tplc="520AC332" w:tentative="1">
      <w:start w:val="1"/>
      <w:numFmt w:val="lowerRoman"/>
      <w:lvlText w:val="%3."/>
      <w:lvlJc w:val="right"/>
      <w:pPr>
        <w:ind w:left="1800" w:hanging="180"/>
      </w:pPr>
    </w:lvl>
    <w:lvl w:ilvl="3" w:tplc="F7949834" w:tentative="1">
      <w:start w:val="1"/>
      <w:numFmt w:val="decimal"/>
      <w:lvlText w:val="%4."/>
      <w:lvlJc w:val="left"/>
      <w:pPr>
        <w:ind w:left="2520" w:hanging="360"/>
      </w:pPr>
    </w:lvl>
    <w:lvl w:ilvl="4" w:tplc="93D60FA0" w:tentative="1">
      <w:start w:val="1"/>
      <w:numFmt w:val="lowerLetter"/>
      <w:lvlText w:val="%5."/>
      <w:lvlJc w:val="left"/>
      <w:pPr>
        <w:ind w:left="3240" w:hanging="360"/>
      </w:pPr>
    </w:lvl>
    <w:lvl w:ilvl="5" w:tplc="CE58B9B8" w:tentative="1">
      <w:start w:val="1"/>
      <w:numFmt w:val="lowerRoman"/>
      <w:lvlText w:val="%6."/>
      <w:lvlJc w:val="right"/>
      <w:pPr>
        <w:ind w:left="3960" w:hanging="180"/>
      </w:pPr>
    </w:lvl>
    <w:lvl w:ilvl="6" w:tplc="38E04442" w:tentative="1">
      <w:start w:val="1"/>
      <w:numFmt w:val="decimal"/>
      <w:lvlText w:val="%7."/>
      <w:lvlJc w:val="left"/>
      <w:pPr>
        <w:ind w:left="4680" w:hanging="360"/>
      </w:pPr>
    </w:lvl>
    <w:lvl w:ilvl="7" w:tplc="22AC97B4" w:tentative="1">
      <w:start w:val="1"/>
      <w:numFmt w:val="lowerLetter"/>
      <w:lvlText w:val="%8."/>
      <w:lvlJc w:val="left"/>
      <w:pPr>
        <w:ind w:left="5400" w:hanging="360"/>
      </w:pPr>
    </w:lvl>
    <w:lvl w:ilvl="8" w:tplc="6FCEB78C" w:tentative="1">
      <w:start w:val="1"/>
      <w:numFmt w:val="lowerRoman"/>
      <w:lvlText w:val="%9."/>
      <w:lvlJc w:val="right"/>
      <w:pPr>
        <w:ind w:left="6120" w:hanging="180"/>
      </w:pPr>
    </w:lvl>
  </w:abstractNum>
  <w:abstractNum w:abstractNumId="12" w15:restartNumberingAfterBreak="0">
    <w:nsid w:val="79B60416"/>
    <w:multiLevelType w:val="hybridMultilevel"/>
    <w:tmpl w:val="C146299C"/>
    <w:lvl w:ilvl="0" w:tplc="A20AF988">
      <w:start w:val="1"/>
      <w:numFmt w:val="bullet"/>
      <w:lvlText w:val=""/>
      <w:lvlJc w:val="left"/>
      <w:pPr>
        <w:ind w:left="786" w:hanging="360"/>
      </w:pPr>
      <w:rPr>
        <w:rFonts w:ascii="Symbol" w:hAnsi="Symbol" w:hint="default"/>
      </w:rPr>
    </w:lvl>
    <w:lvl w:ilvl="1" w:tplc="85A6C428" w:tentative="1">
      <w:start w:val="1"/>
      <w:numFmt w:val="bullet"/>
      <w:lvlText w:val="o"/>
      <w:lvlJc w:val="left"/>
      <w:pPr>
        <w:ind w:left="1506" w:hanging="360"/>
      </w:pPr>
      <w:rPr>
        <w:rFonts w:ascii="Courier New" w:hAnsi="Courier New" w:cs="Courier New" w:hint="default"/>
      </w:rPr>
    </w:lvl>
    <w:lvl w:ilvl="2" w:tplc="E4C033EA" w:tentative="1">
      <w:start w:val="1"/>
      <w:numFmt w:val="bullet"/>
      <w:lvlText w:val=""/>
      <w:lvlJc w:val="left"/>
      <w:pPr>
        <w:ind w:left="2226" w:hanging="360"/>
      </w:pPr>
      <w:rPr>
        <w:rFonts w:ascii="Wingdings" w:hAnsi="Wingdings" w:hint="default"/>
      </w:rPr>
    </w:lvl>
    <w:lvl w:ilvl="3" w:tplc="FC1423A4" w:tentative="1">
      <w:start w:val="1"/>
      <w:numFmt w:val="bullet"/>
      <w:lvlText w:val=""/>
      <w:lvlJc w:val="left"/>
      <w:pPr>
        <w:ind w:left="2946" w:hanging="360"/>
      </w:pPr>
      <w:rPr>
        <w:rFonts w:ascii="Symbol" w:hAnsi="Symbol" w:hint="default"/>
      </w:rPr>
    </w:lvl>
    <w:lvl w:ilvl="4" w:tplc="9F08797C" w:tentative="1">
      <w:start w:val="1"/>
      <w:numFmt w:val="bullet"/>
      <w:lvlText w:val="o"/>
      <w:lvlJc w:val="left"/>
      <w:pPr>
        <w:ind w:left="3666" w:hanging="360"/>
      </w:pPr>
      <w:rPr>
        <w:rFonts w:ascii="Courier New" w:hAnsi="Courier New" w:cs="Courier New" w:hint="default"/>
      </w:rPr>
    </w:lvl>
    <w:lvl w:ilvl="5" w:tplc="03843D78" w:tentative="1">
      <w:start w:val="1"/>
      <w:numFmt w:val="bullet"/>
      <w:lvlText w:val=""/>
      <w:lvlJc w:val="left"/>
      <w:pPr>
        <w:ind w:left="4386" w:hanging="360"/>
      </w:pPr>
      <w:rPr>
        <w:rFonts w:ascii="Wingdings" w:hAnsi="Wingdings" w:hint="default"/>
      </w:rPr>
    </w:lvl>
    <w:lvl w:ilvl="6" w:tplc="90185580" w:tentative="1">
      <w:start w:val="1"/>
      <w:numFmt w:val="bullet"/>
      <w:lvlText w:val=""/>
      <w:lvlJc w:val="left"/>
      <w:pPr>
        <w:ind w:left="5106" w:hanging="360"/>
      </w:pPr>
      <w:rPr>
        <w:rFonts w:ascii="Symbol" w:hAnsi="Symbol" w:hint="default"/>
      </w:rPr>
    </w:lvl>
    <w:lvl w:ilvl="7" w:tplc="A8EAB98C" w:tentative="1">
      <w:start w:val="1"/>
      <w:numFmt w:val="bullet"/>
      <w:lvlText w:val="o"/>
      <w:lvlJc w:val="left"/>
      <w:pPr>
        <w:ind w:left="5826" w:hanging="360"/>
      </w:pPr>
      <w:rPr>
        <w:rFonts w:ascii="Courier New" w:hAnsi="Courier New" w:cs="Courier New" w:hint="default"/>
      </w:rPr>
    </w:lvl>
    <w:lvl w:ilvl="8" w:tplc="C5283990" w:tentative="1">
      <w:start w:val="1"/>
      <w:numFmt w:val="bullet"/>
      <w:lvlText w:val=""/>
      <w:lvlJc w:val="left"/>
      <w:pPr>
        <w:ind w:left="6546" w:hanging="360"/>
      </w:pPr>
      <w:rPr>
        <w:rFonts w:ascii="Wingdings" w:hAnsi="Wingdings" w:hint="default"/>
      </w:rPr>
    </w:lvl>
  </w:abstractNum>
  <w:num w:numId="1">
    <w:abstractNumId w:val="1"/>
  </w:num>
  <w:num w:numId="2">
    <w:abstractNumId w:val="10"/>
  </w:num>
  <w:num w:numId="3">
    <w:abstractNumId w:val="2"/>
  </w:num>
  <w:num w:numId="4">
    <w:abstractNumId w:val="8"/>
  </w:num>
  <w:num w:numId="5">
    <w:abstractNumId w:val="9"/>
  </w:num>
  <w:num w:numId="6">
    <w:abstractNumId w:val="4"/>
  </w:num>
  <w:num w:numId="7">
    <w:abstractNumId w:val="5"/>
  </w:num>
  <w:num w:numId="8">
    <w:abstractNumId w:val="12"/>
  </w:num>
  <w:num w:numId="9">
    <w:abstractNumId w:val="9"/>
  </w:num>
  <w:num w:numId="10">
    <w:abstractNumId w:val="0"/>
  </w:num>
  <w:num w:numId="11">
    <w:abstractNumId w:val="9"/>
    <w:lvlOverride w:ilvl="0">
      <w:startOverride w:val="1"/>
    </w:lvlOverride>
  </w:num>
  <w:num w:numId="12">
    <w:abstractNumId w:val="9"/>
    <w:lvlOverride w:ilvl="0">
      <w:startOverride w:val="1"/>
    </w:lvlOverride>
  </w:num>
  <w:num w:numId="13">
    <w:abstractNumId w:val="6"/>
  </w:num>
  <w:num w:numId="14">
    <w:abstractNumId w:val="9"/>
    <w:lvlOverride w:ilvl="0">
      <w:startOverride w:val="1"/>
    </w:lvlOverride>
  </w:num>
  <w:num w:numId="15">
    <w:abstractNumId w:val="9"/>
    <w:lvlOverride w:ilvl="0">
      <w:startOverride w:val="1"/>
    </w:lvlOverride>
  </w:num>
  <w:num w:numId="16">
    <w:abstractNumId w:val="9"/>
  </w:num>
  <w:num w:numId="17">
    <w:abstractNumId w:val="9"/>
    <w:lvlOverride w:ilvl="0">
      <w:startOverride w:val="1"/>
    </w:lvlOverride>
  </w:num>
  <w:num w:numId="18">
    <w:abstractNumId w:val="9"/>
  </w:num>
  <w:num w:numId="19">
    <w:abstractNumId w:val="9"/>
  </w:num>
  <w:num w:numId="20">
    <w:abstractNumId w:val="11"/>
  </w:num>
  <w:num w:numId="21">
    <w:abstractNumId w:val="9"/>
  </w:num>
  <w:num w:numId="22">
    <w:abstractNumId w:val="9"/>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48"/>
    <w:rsid w:val="002B7C48"/>
    <w:rsid w:val="00F6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D1F2"/>
  <w15:docId w15:val="{E0A1128D-1F07-4E3C-BB4A-9D73A419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FD7"/>
    <w:pPr>
      <w:spacing w:after="0" w:line="288"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017D6A"/>
    <w:pPr>
      <w:keepNext/>
      <w:spacing w:after="120"/>
      <w:outlineLvl w:val="0"/>
    </w:pPr>
    <w:rPr>
      <w:b/>
      <w:caps/>
    </w:rPr>
  </w:style>
  <w:style w:type="paragraph" w:styleId="Heading2">
    <w:name w:val="heading 2"/>
    <w:basedOn w:val="Normal"/>
    <w:next w:val="Normal"/>
    <w:link w:val="Heading2Char"/>
    <w:uiPriority w:val="9"/>
    <w:unhideWhenUsed/>
    <w:qFormat/>
    <w:rsid w:val="00F959F3"/>
    <w:pPr>
      <w:spacing w:after="120"/>
      <w:outlineLvl w:val="1"/>
    </w:pPr>
    <w:rPr>
      <w:b/>
      <w:color w:val="0070C0"/>
    </w:rPr>
  </w:style>
  <w:style w:type="paragraph" w:styleId="Heading3">
    <w:name w:val="heading 3"/>
    <w:basedOn w:val="Normal"/>
    <w:next w:val="Normal"/>
    <w:link w:val="Heading3Char"/>
    <w:uiPriority w:val="9"/>
    <w:unhideWhenUsed/>
    <w:qFormat/>
    <w:rsid w:val="00F959F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D6A"/>
    <w:rPr>
      <w:rFonts w:ascii="Arial" w:eastAsia="Times New Roman" w:hAnsi="Arial" w:cs="Times New Roman"/>
      <w:b/>
      <w:caps/>
      <w:szCs w:val="20"/>
      <w:lang w:eastAsia="en-GB"/>
    </w:rPr>
  </w:style>
  <w:style w:type="paragraph" w:styleId="Footer">
    <w:name w:val="footer"/>
    <w:basedOn w:val="Normal"/>
    <w:link w:val="FooterChar"/>
    <w:uiPriority w:val="99"/>
    <w:rsid w:val="00672A48"/>
    <w:pPr>
      <w:tabs>
        <w:tab w:val="center" w:pos="4153"/>
        <w:tab w:val="right" w:pos="8306"/>
      </w:tabs>
    </w:pPr>
  </w:style>
  <w:style w:type="character" w:customStyle="1" w:styleId="FooterChar">
    <w:name w:val="Footer Char"/>
    <w:basedOn w:val="DefaultParagraphFont"/>
    <w:link w:val="Footer"/>
    <w:uiPriority w:val="99"/>
    <w:rsid w:val="00672A48"/>
    <w:rPr>
      <w:rFonts w:ascii="Arial" w:eastAsia="Times New Roman" w:hAnsi="Arial" w:cs="Times New Roman"/>
      <w:szCs w:val="20"/>
      <w:lang w:eastAsia="en-GB"/>
    </w:rPr>
  </w:style>
  <w:style w:type="paragraph" w:styleId="ListParagraph">
    <w:name w:val="List Paragraph"/>
    <w:basedOn w:val="Normal"/>
    <w:uiPriority w:val="34"/>
    <w:qFormat/>
    <w:rsid w:val="00F959F3"/>
    <w:pPr>
      <w:numPr>
        <w:numId w:val="5"/>
      </w:numPr>
      <w:spacing w:after="120"/>
      <w:ind w:left="360"/>
      <w:outlineLvl w:val="0"/>
    </w:pPr>
    <w:rPr>
      <w:rFonts w:eastAsia="Calibri"/>
      <w:szCs w:val="22"/>
      <w:lang w:eastAsia="en-US"/>
    </w:rPr>
  </w:style>
  <w:style w:type="paragraph" w:styleId="Header">
    <w:name w:val="header"/>
    <w:basedOn w:val="Normal"/>
    <w:link w:val="HeaderChar"/>
    <w:uiPriority w:val="99"/>
    <w:unhideWhenUsed/>
    <w:rsid w:val="0048727F"/>
    <w:pPr>
      <w:tabs>
        <w:tab w:val="center" w:pos="4513"/>
        <w:tab w:val="right" w:pos="9026"/>
      </w:tabs>
    </w:pPr>
  </w:style>
  <w:style w:type="character" w:customStyle="1" w:styleId="HeaderChar">
    <w:name w:val="Header Char"/>
    <w:basedOn w:val="DefaultParagraphFont"/>
    <w:link w:val="Header"/>
    <w:uiPriority w:val="99"/>
    <w:rsid w:val="0048727F"/>
    <w:rPr>
      <w:rFonts w:ascii="Arial" w:eastAsia="Times New Roman" w:hAnsi="Arial" w:cs="Times New Roman"/>
      <w:szCs w:val="20"/>
      <w:lang w:eastAsia="en-GB"/>
    </w:rPr>
  </w:style>
  <w:style w:type="character" w:customStyle="1" w:styleId="Heading2Char">
    <w:name w:val="Heading 2 Char"/>
    <w:basedOn w:val="DefaultParagraphFont"/>
    <w:link w:val="Heading2"/>
    <w:uiPriority w:val="9"/>
    <w:rsid w:val="00F959F3"/>
    <w:rPr>
      <w:rFonts w:ascii="Arial" w:eastAsia="Times New Roman" w:hAnsi="Arial" w:cs="Times New Roman"/>
      <w:b/>
      <w:color w:val="0070C0"/>
      <w:szCs w:val="20"/>
      <w:lang w:eastAsia="en-GB"/>
    </w:rPr>
  </w:style>
  <w:style w:type="table" w:styleId="TableGrid">
    <w:name w:val="Table Grid"/>
    <w:basedOn w:val="TableNormal"/>
    <w:uiPriority w:val="59"/>
    <w:rsid w:val="0084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959F3"/>
    <w:rPr>
      <w:rFonts w:ascii="Arial" w:eastAsia="Times New Roman" w:hAnsi="Arial" w:cs="Times New Roman"/>
      <w:b/>
      <w:szCs w:val="20"/>
      <w:lang w:eastAsia="en-GB"/>
    </w:rPr>
  </w:style>
  <w:style w:type="character" w:styleId="CommentReference">
    <w:name w:val="annotation reference"/>
    <w:basedOn w:val="DefaultParagraphFont"/>
    <w:uiPriority w:val="99"/>
    <w:semiHidden/>
    <w:unhideWhenUsed/>
    <w:rsid w:val="00FC12B0"/>
    <w:rPr>
      <w:sz w:val="16"/>
      <w:szCs w:val="16"/>
    </w:rPr>
  </w:style>
  <w:style w:type="paragraph" w:styleId="CommentText">
    <w:name w:val="annotation text"/>
    <w:basedOn w:val="Normal"/>
    <w:link w:val="CommentTextChar"/>
    <w:uiPriority w:val="99"/>
    <w:semiHidden/>
    <w:unhideWhenUsed/>
    <w:rsid w:val="00FC12B0"/>
    <w:pPr>
      <w:spacing w:line="240" w:lineRule="auto"/>
    </w:pPr>
    <w:rPr>
      <w:sz w:val="20"/>
    </w:rPr>
  </w:style>
  <w:style w:type="character" w:customStyle="1" w:styleId="CommentTextChar">
    <w:name w:val="Comment Text Char"/>
    <w:basedOn w:val="DefaultParagraphFont"/>
    <w:link w:val="CommentText"/>
    <w:uiPriority w:val="99"/>
    <w:semiHidden/>
    <w:rsid w:val="00FC12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12B0"/>
    <w:rPr>
      <w:b/>
      <w:bCs/>
    </w:rPr>
  </w:style>
  <w:style w:type="character" w:customStyle="1" w:styleId="CommentSubjectChar">
    <w:name w:val="Comment Subject Char"/>
    <w:basedOn w:val="CommentTextChar"/>
    <w:link w:val="CommentSubject"/>
    <w:uiPriority w:val="99"/>
    <w:semiHidden/>
    <w:rsid w:val="00FC12B0"/>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C12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B0"/>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4F3C38"/>
    <w:rPr>
      <w:color w:val="0000FF"/>
      <w:u w:val="single"/>
    </w:rPr>
  </w:style>
  <w:style w:type="character" w:styleId="FollowedHyperlink">
    <w:name w:val="FollowedHyperlink"/>
    <w:basedOn w:val="DefaultParagraphFont"/>
    <w:uiPriority w:val="99"/>
    <w:semiHidden/>
    <w:unhideWhenUsed/>
    <w:rsid w:val="004F3C38"/>
    <w:rPr>
      <w:color w:val="800080"/>
      <w:u w:val="single"/>
    </w:rPr>
  </w:style>
  <w:style w:type="paragraph" w:customStyle="1" w:styleId="xl66">
    <w:name w:val="xl66"/>
    <w:basedOn w:val="Normal"/>
    <w:rsid w:val="004F3C38"/>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7">
    <w:name w:val="xl67"/>
    <w:basedOn w:val="Normal"/>
    <w:rsid w:val="004F3C3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imes New Roman" w:hAnsi="Times New Roman"/>
      <w:sz w:val="24"/>
      <w:szCs w:val="24"/>
    </w:rPr>
  </w:style>
  <w:style w:type="paragraph" w:customStyle="1" w:styleId="xl68">
    <w:name w:val="xl68"/>
    <w:basedOn w:val="Normal"/>
    <w:rsid w:val="004F3C38"/>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9">
    <w:name w:val="xl69"/>
    <w:basedOn w:val="Normal"/>
    <w:rsid w:val="004F3C3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70">
    <w:name w:val="xl70"/>
    <w:basedOn w:val="Normal"/>
    <w:rsid w:val="004F3C38"/>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71">
    <w:name w:val="xl71"/>
    <w:basedOn w:val="Normal"/>
    <w:rsid w:val="004F3C3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imes New Roman" w:hAnsi="Times New Roman"/>
      <w:sz w:val="24"/>
      <w:szCs w:val="24"/>
    </w:rPr>
  </w:style>
  <w:style w:type="paragraph" w:customStyle="1" w:styleId="xl72">
    <w:name w:val="xl72"/>
    <w:basedOn w:val="Normal"/>
    <w:rsid w:val="004F3C3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73">
    <w:name w:val="xl73"/>
    <w:basedOn w:val="Normal"/>
    <w:rsid w:val="004F3C38"/>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74">
    <w:name w:val="xl74"/>
    <w:basedOn w:val="Normal"/>
    <w:rsid w:val="004F3C38"/>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75">
    <w:name w:val="xl75"/>
    <w:basedOn w:val="Normal"/>
    <w:rsid w:val="004F3C38"/>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76">
    <w:name w:val="xl76"/>
    <w:basedOn w:val="Normal"/>
    <w:rsid w:val="004F3C38"/>
    <w:pPr>
      <w:spacing w:before="100" w:beforeAutospacing="1" w:after="100" w:afterAutospacing="1" w:line="240" w:lineRule="auto"/>
      <w:jc w:val="left"/>
      <w:textAlignment w:val="center"/>
    </w:pPr>
    <w:rPr>
      <w:rFonts w:ascii="Times New Roman" w:hAnsi="Times New Roman"/>
      <w:sz w:val="12"/>
      <w:szCs w:val="12"/>
    </w:rPr>
  </w:style>
  <w:style w:type="paragraph" w:customStyle="1" w:styleId="xl77">
    <w:name w:val="xl77"/>
    <w:basedOn w:val="Normal"/>
    <w:rsid w:val="004F3C38"/>
    <w:pPr>
      <w:spacing w:before="100" w:beforeAutospacing="1" w:after="100" w:afterAutospacing="1" w:line="240" w:lineRule="auto"/>
      <w:jc w:val="left"/>
      <w:textAlignment w:val="center"/>
    </w:pPr>
    <w:rPr>
      <w:rFonts w:ascii="Times New Roman" w:hAnsi="Times New Roman"/>
      <w:sz w:val="12"/>
      <w:szCs w:val="12"/>
    </w:rPr>
  </w:style>
  <w:style w:type="paragraph" w:customStyle="1" w:styleId="xl78">
    <w:name w:val="xl78"/>
    <w:basedOn w:val="Normal"/>
    <w:rsid w:val="004F3C38"/>
    <w:pPr>
      <w:spacing w:before="100" w:beforeAutospacing="1" w:after="100" w:afterAutospacing="1" w:line="240" w:lineRule="auto"/>
      <w:jc w:val="left"/>
      <w:textAlignment w:val="center"/>
    </w:pPr>
    <w:rPr>
      <w:rFonts w:ascii="Times New Roman" w:hAnsi="Times New Roman"/>
      <w:sz w:val="28"/>
      <w:szCs w:val="28"/>
    </w:rPr>
  </w:style>
  <w:style w:type="paragraph" w:customStyle="1" w:styleId="xl79">
    <w:name w:val="xl79"/>
    <w:basedOn w:val="Normal"/>
    <w:rsid w:val="004F3C38"/>
    <w:pPr>
      <w:pBdr>
        <w:bottom w:val="single" w:sz="4" w:space="0" w:color="BFBFBF"/>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80">
    <w:name w:val="xl80"/>
    <w:basedOn w:val="Normal"/>
    <w:rsid w:val="004F3C38"/>
    <w:pPr>
      <w:spacing w:before="100" w:beforeAutospacing="1" w:after="100" w:afterAutospacing="1" w:line="240" w:lineRule="auto"/>
      <w:jc w:val="left"/>
      <w:textAlignment w:val="center"/>
    </w:pPr>
    <w:rPr>
      <w:rFonts w:ascii="Times New Roman" w:hAnsi="Times New Roman"/>
      <w:b/>
      <w:bCs/>
      <w:color w:val="0070C0"/>
      <w:sz w:val="28"/>
      <w:szCs w:val="28"/>
    </w:rPr>
  </w:style>
  <w:style w:type="paragraph" w:customStyle="1" w:styleId="xl81">
    <w:name w:val="xl81"/>
    <w:basedOn w:val="Normal"/>
    <w:rsid w:val="004F3C38"/>
    <w:pPr>
      <w:pBdr>
        <w:bottom w:val="single" w:sz="4" w:space="0" w:color="BFBFBF"/>
      </w:pBdr>
      <w:spacing w:before="100" w:beforeAutospacing="1" w:after="100" w:afterAutospacing="1" w:line="240" w:lineRule="auto"/>
      <w:jc w:val="left"/>
      <w:textAlignment w:val="center"/>
    </w:pPr>
    <w:rPr>
      <w:rFonts w:ascii="Times New Roman" w:hAnsi="Times New Roman"/>
      <w:b/>
      <w:bCs/>
      <w:color w:val="0070C0"/>
      <w:sz w:val="28"/>
      <w:szCs w:val="28"/>
    </w:rPr>
  </w:style>
  <w:style w:type="paragraph" w:customStyle="1" w:styleId="xl82">
    <w:name w:val="xl82"/>
    <w:basedOn w:val="Normal"/>
    <w:rsid w:val="004F3C38"/>
    <w:pPr>
      <w:pBdr>
        <w:top w:val="single" w:sz="4" w:space="0" w:color="auto"/>
      </w:pBdr>
      <w:spacing w:before="100" w:beforeAutospacing="1" w:after="100" w:afterAutospacing="1" w:line="240" w:lineRule="auto"/>
      <w:jc w:val="left"/>
      <w:textAlignment w:val="center"/>
    </w:pPr>
    <w:rPr>
      <w:rFonts w:ascii="Times New Roman" w:hAnsi="Times New Roman"/>
      <w:b/>
      <w:bCs/>
      <w:color w:val="0070C0"/>
      <w:sz w:val="28"/>
      <w:szCs w:val="28"/>
    </w:rPr>
  </w:style>
  <w:style w:type="paragraph" w:customStyle="1" w:styleId="xl83">
    <w:name w:val="xl83"/>
    <w:basedOn w:val="Normal"/>
    <w:rsid w:val="004F3C38"/>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84">
    <w:name w:val="xl84"/>
    <w:basedOn w:val="Normal"/>
    <w:rsid w:val="004F3C3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Normal"/>
    <w:rsid w:val="004F3C38"/>
    <w:pPr>
      <w:spacing w:before="100" w:beforeAutospacing="1" w:after="100" w:afterAutospacing="1" w:line="240" w:lineRule="auto"/>
      <w:jc w:val="left"/>
      <w:textAlignment w:val="center"/>
    </w:pPr>
    <w:rPr>
      <w:rFonts w:ascii="Times New Roman" w:hAnsi="Times New Roman"/>
      <w:sz w:val="28"/>
      <w:szCs w:val="28"/>
    </w:rPr>
  </w:style>
  <w:style w:type="paragraph" w:customStyle="1" w:styleId="xl86">
    <w:name w:val="xl86"/>
    <w:basedOn w:val="Normal"/>
    <w:rsid w:val="004F3C38"/>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87">
    <w:name w:val="xl87"/>
    <w:basedOn w:val="Normal"/>
    <w:rsid w:val="004F3C3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88">
    <w:name w:val="xl88"/>
    <w:basedOn w:val="Normal"/>
    <w:rsid w:val="004F3C38"/>
    <w:pPr>
      <w:spacing w:before="100" w:beforeAutospacing="1" w:after="100" w:afterAutospacing="1" w:line="240" w:lineRule="auto"/>
      <w:jc w:val="left"/>
      <w:textAlignment w:val="center"/>
    </w:pPr>
    <w:rPr>
      <w:rFonts w:ascii="Times New Roman" w:hAnsi="Times New Roman"/>
      <w:sz w:val="12"/>
      <w:szCs w:val="12"/>
    </w:rPr>
  </w:style>
  <w:style w:type="paragraph" w:customStyle="1" w:styleId="xl89">
    <w:name w:val="xl89"/>
    <w:basedOn w:val="Normal"/>
    <w:rsid w:val="004F3C3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90">
    <w:name w:val="xl90"/>
    <w:basedOn w:val="Normal"/>
    <w:rsid w:val="004F3C38"/>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CapProgHeader1">
    <w:name w:val="Cap Prog Header 1"/>
    <w:basedOn w:val="Heading1"/>
    <w:link w:val="CapProgHeader1Char"/>
    <w:qFormat/>
    <w:rsid w:val="00FC6F88"/>
    <w:pPr>
      <w:keepNext w:val="0"/>
      <w:spacing w:before="120" w:after="0" w:line="240" w:lineRule="auto"/>
      <w:jc w:val="left"/>
    </w:pPr>
    <w:rPr>
      <w:rFonts w:ascii="Calibri" w:hAnsi="Calibri"/>
      <w:bCs/>
      <w:caps w:val="0"/>
      <w:color w:val="0070C0"/>
      <w:sz w:val="28"/>
      <w:szCs w:val="28"/>
    </w:rPr>
  </w:style>
  <w:style w:type="paragraph" w:customStyle="1" w:styleId="CapProgHeader2">
    <w:name w:val="Cap Prog Header 2"/>
    <w:basedOn w:val="Heading2"/>
    <w:link w:val="CapProgHeader2Char"/>
    <w:qFormat/>
    <w:rsid w:val="00FC6F88"/>
    <w:pPr>
      <w:spacing w:before="120" w:after="0" w:line="240" w:lineRule="auto"/>
      <w:jc w:val="left"/>
    </w:pPr>
    <w:rPr>
      <w:rFonts w:ascii="Calibri" w:hAnsi="Calibri"/>
      <w:bCs/>
      <w:color w:val="auto"/>
      <w:sz w:val="24"/>
      <w:szCs w:val="24"/>
    </w:rPr>
  </w:style>
  <w:style w:type="character" w:customStyle="1" w:styleId="CapProgHeader1Char">
    <w:name w:val="Cap Prog Header 1 Char"/>
    <w:basedOn w:val="Heading1Char"/>
    <w:link w:val="CapProgHeader1"/>
    <w:rsid w:val="00FC6F88"/>
    <w:rPr>
      <w:rFonts w:ascii="Calibri" w:eastAsia="Times New Roman" w:hAnsi="Calibri" w:cs="Times New Roman"/>
      <w:b/>
      <w:bCs/>
      <w:caps w:val="0"/>
      <w:color w:val="0070C0"/>
      <w:sz w:val="28"/>
      <w:szCs w:val="28"/>
      <w:lang w:eastAsia="en-GB"/>
    </w:rPr>
  </w:style>
  <w:style w:type="character" w:customStyle="1" w:styleId="CapProgHeader2Char">
    <w:name w:val="Cap Prog Header 2 Char"/>
    <w:basedOn w:val="Heading2Char"/>
    <w:link w:val="CapProgHeader2"/>
    <w:rsid w:val="00FC6F88"/>
    <w:rPr>
      <w:rFonts w:ascii="Calibri" w:eastAsia="Times New Roman" w:hAnsi="Calibri" w:cs="Times New Roman"/>
      <w:b/>
      <w:bCs/>
      <w:color w:val="0070C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9CE0-7866-4E9A-89E5-D5C39A4F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14</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McNulty, James</dc:creator>
  <cp:lastModifiedBy>Lynch, Charlotte</cp:lastModifiedBy>
  <cp:revision>103</cp:revision>
  <cp:lastPrinted>2019-10-22T21:11:00Z</cp:lastPrinted>
  <dcterms:created xsi:type="dcterms:W3CDTF">2020-01-15T10:37:00Z</dcterms:created>
  <dcterms:modified xsi:type="dcterms:W3CDTF">2020-01-31T13:25:00Z</dcterms:modified>
</cp:coreProperties>
</file>